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570AE7" w14:textId="77777777" w:rsidR="006C0F5C" w:rsidRDefault="00A026CA">
      <w:pPr>
        <w:tabs>
          <w:tab w:val="center" w:pos="2163"/>
          <w:tab w:val="center" w:pos="4597"/>
          <w:tab w:val="center" w:pos="5317"/>
          <w:tab w:val="center" w:pos="7101"/>
        </w:tabs>
        <w:spacing w:after="0" w:line="259" w:lineRule="auto"/>
        <w:ind w:left="0" w:right="0" w:firstLine="0"/>
        <w:jc w:val="left"/>
      </w:pPr>
      <w:r>
        <w:rPr>
          <w:rFonts w:ascii="Calibri" w:eastAsia="Calibri" w:hAnsi="Calibri" w:cs="Calibri"/>
          <w:sz w:val="22"/>
        </w:rPr>
        <w:tab/>
      </w:r>
      <w:r>
        <w:rPr>
          <w:noProof/>
        </w:rPr>
        <w:drawing>
          <wp:inline distT="0" distB="0" distL="0" distR="0" wp14:anchorId="6A688B13" wp14:editId="47AC4C31">
            <wp:extent cx="2273300" cy="908050"/>
            <wp:effectExtent l="0" t="0" r="0" b="0"/>
            <wp:docPr id="58" name="Pictu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6"/>
                    <a:stretch>
                      <a:fillRect/>
                    </a:stretch>
                  </pic:blipFill>
                  <pic:spPr>
                    <a:xfrm>
                      <a:off x="0" y="0"/>
                      <a:ext cx="2273300" cy="908050"/>
                    </a:xfrm>
                    <a:prstGeom prst="rect">
                      <a:avLst/>
                    </a:prstGeom>
                  </pic:spPr>
                </pic:pic>
              </a:graphicData>
            </a:graphic>
          </wp:inline>
        </w:drawing>
      </w:r>
      <w:r>
        <w:rPr>
          <w:rFonts w:ascii="Times New Roman" w:eastAsia="Times New Roman" w:hAnsi="Times New Roman" w:cs="Times New Roman"/>
          <w:sz w:val="28"/>
        </w:rPr>
        <w:t xml:space="preserve"> </w:t>
      </w:r>
      <w:r>
        <w:rPr>
          <w:rFonts w:ascii="Times New Roman" w:eastAsia="Times New Roman" w:hAnsi="Times New Roman" w:cs="Times New Roman"/>
          <w:sz w:val="28"/>
        </w:rPr>
        <w:tab/>
        <w:t xml:space="preserve"> </w:t>
      </w:r>
      <w:r>
        <w:rPr>
          <w:rFonts w:ascii="Times New Roman" w:eastAsia="Times New Roman" w:hAnsi="Times New Roman" w:cs="Times New Roman"/>
          <w:sz w:val="28"/>
        </w:rPr>
        <w:tab/>
        <w:t xml:space="preserve">  </w:t>
      </w:r>
      <w:r>
        <w:rPr>
          <w:rFonts w:ascii="Times New Roman" w:eastAsia="Times New Roman" w:hAnsi="Times New Roman" w:cs="Times New Roman"/>
          <w:sz w:val="28"/>
        </w:rPr>
        <w:tab/>
      </w:r>
      <w:r>
        <w:rPr>
          <w:noProof/>
        </w:rPr>
        <w:drawing>
          <wp:inline distT="0" distB="0" distL="0" distR="0" wp14:anchorId="37F3CA0B" wp14:editId="1E9AE476">
            <wp:extent cx="1308100" cy="996950"/>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7"/>
                    <a:stretch>
                      <a:fillRect/>
                    </a:stretch>
                  </pic:blipFill>
                  <pic:spPr>
                    <a:xfrm>
                      <a:off x="0" y="0"/>
                      <a:ext cx="1308100" cy="996950"/>
                    </a:xfrm>
                    <a:prstGeom prst="rect">
                      <a:avLst/>
                    </a:prstGeom>
                  </pic:spPr>
                </pic:pic>
              </a:graphicData>
            </a:graphic>
          </wp:inline>
        </w:drawing>
      </w:r>
      <w:r>
        <w:rPr>
          <w:rFonts w:ascii="Times New Roman" w:eastAsia="Times New Roman" w:hAnsi="Times New Roman" w:cs="Times New Roman"/>
          <w:sz w:val="28"/>
        </w:rPr>
        <w:t xml:space="preserve"> </w:t>
      </w:r>
    </w:p>
    <w:p w14:paraId="354A1FE7" w14:textId="77777777" w:rsidR="006C0F5C" w:rsidRDefault="00A026CA">
      <w:pPr>
        <w:spacing w:after="0" w:line="259" w:lineRule="auto"/>
        <w:ind w:left="276" w:right="0" w:firstLine="0"/>
        <w:jc w:val="left"/>
      </w:pPr>
      <w:r>
        <w:rPr>
          <w:rFonts w:ascii="Times New Roman" w:eastAsia="Times New Roman" w:hAnsi="Times New Roman" w:cs="Times New Roman"/>
          <w:sz w:val="28"/>
        </w:rPr>
        <w:t xml:space="preserve"> </w:t>
      </w:r>
    </w:p>
    <w:p w14:paraId="77B6AE8A" w14:textId="77777777" w:rsidR="006C0F5C" w:rsidRDefault="00A026CA">
      <w:pPr>
        <w:spacing w:after="34" w:line="275" w:lineRule="auto"/>
        <w:ind w:left="276" w:right="6060" w:firstLine="0"/>
        <w:jc w:val="left"/>
      </w:pPr>
      <w:r>
        <w:rPr>
          <w:rFonts w:ascii="Calibri" w:eastAsia="Calibri" w:hAnsi="Calibri" w:cs="Calibri"/>
          <w:b/>
        </w:rPr>
        <w:t xml:space="preserve">The Early Warning Monitor GLIC Weekly Report </w:t>
      </w:r>
    </w:p>
    <w:p w14:paraId="3652EB3B" w14:textId="77777777" w:rsidR="006C0F5C" w:rsidRDefault="00A026CA">
      <w:pPr>
        <w:spacing w:after="21" w:line="259" w:lineRule="auto"/>
        <w:ind w:left="276" w:right="0" w:firstLine="0"/>
        <w:jc w:val="left"/>
      </w:pPr>
      <w:r>
        <w:rPr>
          <w:rFonts w:ascii="Times New Roman" w:eastAsia="Times New Roman" w:hAnsi="Times New Roman" w:cs="Times New Roman"/>
          <w:b/>
          <w:sz w:val="28"/>
        </w:rPr>
        <w:t xml:space="preserve"> </w:t>
      </w:r>
    </w:p>
    <w:p w14:paraId="2616FD18" w14:textId="77777777" w:rsidR="006C0F5C" w:rsidRDefault="00A026CA">
      <w:pPr>
        <w:spacing w:after="40" w:line="259" w:lineRule="auto"/>
        <w:ind w:left="276" w:right="0" w:firstLine="0"/>
        <w:jc w:val="left"/>
      </w:pPr>
      <w:r>
        <w:rPr>
          <w:rFonts w:ascii="Times New Roman" w:eastAsia="Times New Roman" w:hAnsi="Times New Roman" w:cs="Times New Roman"/>
          <w:b/>
          <w:sz w:val="28"/>
        </w:rPr>
        <w:t xml:space="preserve"> </w:t>
      </w:r>
    </w:p>
    <w:p w14:paraId="5AF84035" w14:textId="1D4760F1" w:rsidR="006C0F5C" w:rsidRDefault="00620D9D">
      <w:pPr>
        <w:spacing w:after="0" w:line="259" w:lineRule="auto"/>
        <w:ind w:left="276" w:right="0" w:firstLine="0"/>
        <w:jc w:val="left"/>
      </w:pPr>
      <w:r>
        <w:rPr>
          <w:rFonts w:ascii="Calibri" w:eastAsia="Calibri" w:hAnsi="Calibri" w:cs="Calibri"/>
          <w:b/>
          <w:i/>
        </w:rPr>
        <w:t>1</w:t>
      </w:r>
      <w:r w:rsidR="00EB4832">
        <w:rPr>
          <w:rFonts w:ascii="Calibri" w:eastAsia="Calibri" w:hAnsi="Calibri" w:cs="Calibri"/>
          <w:b/>
          <w:i/>
        </w:rPr>
        <w:t>9</w:t>
      </w:r>
      <w:r>
        <w:rPr>
          <w:rFonts w:ascii="Calibri" w:eastAsia="Calibri" w:hAnsi="Calibri" w:cs="Calibri"/>
          <w:b/>
          <w:i/>
          <w:vertAlign w:val="superscript"/>
        </w:rPr>
        <w:t>th</w:t>
      </w:r>
      <w:r>
        <w:rPr>
          <w:rFonts w:ascii="Calibri" w:eastAsia="Calibri" w:hAnsi="Calibri" w:cs="Calibri"/>
          <w:b/>
          <w:i/>
        </w:rPr>
        <w:t xml:space="preserve"> </w:t>
      </w:r>
      <w:r w:rsidR="00F80989">
        <w:rPr>
          <w:rFonts w:ascii="Calibri" w:eastAsia="Calibri" w:hAnsi="Calibri" w:cs="Calibri"/>
          <w:b/>
          <w:i/>
        </w:rPr>
        <w:t>July</w:t>
      </w:r>
      <w:r>
        <w:rPr>
          <w:rFonts w:ascii="Calibri" w:eastAsia="Calibri" w:hAnsi="Calibri" w:cs="Calibri"/>
          <w:b/>
          <w:i/>
        </w:rPr>
        <w:t>, 2026</w:t>
      </w:r>
      <w:r>
        <w:rPr>
          <w:rFonts w:ascii="Times New Roman" w:eastAsia="Times New Roman" w:hAnsi="Times New Roman" w:cs="Times New Roman"/>
          <w:i/>
          <w:sz w:val="28"/>
        </w:rPr>
        <w:t xml:space="preserve"> </w:t>
      </w:r>
    </w:p>
    <w:p w14:paraId="00C41DD4" w14:textId="77777777" w:rsidR="006C0F5C" w:rsidRDefault="00A026CA">
      <w:pPr>
        <w:spacing w:after="183" w:line="259" w:lineRule="auto"/>
        <w:ind w:left="6256" w:right="0" w:firstLine="0"/>
        <w:jc w:val="left"/>
      </w:pPr>
      <w:r>
        <w:rPr>
          <w:rFonts w:ascii="Calibri" w:eastAsia="Calibri" w:hAnsi="Calibri" w:cs="Calibri"/>
          <w:noProof/>
          <w:sz w:val="22"/>
        </w:rPr>
        <mc:AlternateContent>
          <mc:Choice Requires="wpg">
            <w:drawing>
              <wp:inline distT="0" distB="0" distL="0" distR="0" wp14:anchorId="373B3BE3" wp14:editId="6FF9D3BF">
                <wp:extent cx="1191368" cy="1381328"/>
                <wp:effectExtent l="0" t="0" r="2540" b="15875"/>
                <wp:docPr id="5560" name="Group 5560"/>
                <wp:cNvGraphicFramePr/>
                <a:graphic xmlns:a="http://schemas.openxmlformats.org/drawingml/2006/main">
                  <a:graphicData uri="http://schemas.microsoft.com/office/word/2010/wordprocessingGroup">
                    <wpg:wgp>
                      <wpg:cNvGrpSpPr/>
                      <wpg:grpSpPr>
                        <a:xfrm>
                          <a:off x="0" y="0"/>
                          <a:ext cx="1191368" cy="1381328"/>
                          <a:chOff x="0" y="0"/>
                          <a:chExt cx="1982724" cy="1282319"/>
                        </a:xfrm>
                      </wpg:grpSpPr>
                      <pic:pic xmlns:pic="http://schemas.openxmlformats.org/drawingml/2006/picture">
                        <pic:nvPicPr>
                          <pic:cNvPr id="62" name="Picture 62"/>
                          <pic:cNvPicPr/>
                        </pic:nvPicPr>
                        <pic:blipFill>
                          <a:blip r:embed="rId8"/>
                          <a:stretch>
                            <a:fillRect/>
                          </a:stretch>
                        </pic:blipFill>
                        <pic:spPr>
                          <a:xfrm>
                            <a:off x="0" y="86106"/>
                            <a:ext cx="1982724" cy="1110996"/>
                          </a:xfrm>
                          <a:prstGeom prst="rect">
                            <a:avLst/>
                          </a:prstGeom>
                        </pic:spPr>
                      </pic:pic>
                      <pic:pic xmlns:pic="http://schemas.openxmlformats.org/drawingml/2006/picture">
                        <pic:nvPicPr>
                          <pic:cNvPr id="65" name="Picture 65"/>
                          <pic:cNvPicPr/>
                        </pic:nvPicPr>
                        <pic:blipFill>
                          <a:blip r:embed="rId9"/>
                          <a:stretch>
                            <a:fillRect/>
                          </a:stretch>
                        </pic:blipFill>
                        <pic:spPr>
                          <a:xfrm>
                            <a:off x="0" y="86106"/>
                            <a:ext cx="1967484" cy="1101852"/>
                          </a:xfrm>
                          <a:prstGeom prst="rect">
                            <a:avLst/>
                          </a:prstGeom>
                        </pic:spPr>
                      </pic:pic>
                      <wps:wsp>
                        <wps:cNvPr id="66" name="Rectangle 66"/>
                        <wps:cNvSpPr/>
                        <wps:spPr>
                          <a:xfrm>
                            <a:off x="92329" y="549641"/>
                            <a:ext cx="51809" cy="207922"/>
                          </a:xfrm>
                          <a:prstGeom prst="rect">
                            <a:avLst/>
                          </a:prstGeom>
                          <a:ln>
                            <a:noFill/>
                          </a:ln>
                        </wps:spPr>
                        <wps:txbx>
                          <w:txbxContent>
                            <w:p w14:paraId="7FFAE1B6" w14:textId="77777777" w:rsidR="006C0F5C" w:rsidRDefault="00A026CA">
                              <w:pPr>
                                <w:spacing w:after="160" w:line="259" w:lineRule="auto"/>
                                <w:ind w:left="0" w:right="0" w:firstLine="0"/>
                                <w:jc w:val="left"/>
                              </w:pPr>
                              <w:r>
                                <w:rPr>
                                  <w:rFonts w:ascii="Arial" w:eastAsia="Arial" w:hAnsi="Arial" w:cs="Arial"/>
                                  <w:sz w:val="22"/>
                                </w:rPr>
                                <w:t xml:space="preserve"> </w:t>
                              </w:r>
                            </w:p>
                          </w:txbxContent>
                        </wps:txbx>
                        <wps:bodyPr horzOverflow="overflow" vert="horz" lIns="0" tIns="0" rIns="0" bIns="0" rtlCol="0">
                          <a:noAutofit/>
                        </wps:bodyPr>
                      </wps:wsp>
                      <wps:wsp>
                        <wps:cNvPr id="6349" name="Shape 6349"/>
                        <wps:cNvSpPr/>
                        <wps:spPr>
                          <a:xfrm>
                            <a:off x="102870" y="881431"/>
                            <a:ext cx="600240" cy="276301"/>
                          </a:xfrm>
                          <a:custGeom>
                            <a:avLst/>
                            <a:gdLst/>
                            <a:ahLst/>
                            <a:cxnLst/>
                            <a:rect l="0" t="0" r="0" b="0"/>
                            <a:pathLst>
                              <a:path w="600240" h="276301">
                                <a:moveTo>
                                  <a:pt x="0" y="0"/>
                                </a:moveTo>
                                <a:lnTo>
                                  <a:pt x="600240" y="0"/>
                                </a:lnTo>
                                <a:lnTo>
                                  <a:pt x="600240" y="276301"/>
                                </a:lnTo>
                                <a:lnTo>
                                  <a:pt x="0" y="276301"/>
                                </a:lnTo>
                                <a:lnTo>
                                  <a:pt x="0" y="0"/>
                                </a:lnTo>
                              </a:path>
                            </a:pathLst>
                          </a:custGeom>
                          <a:ln w="0" cap="flat">
                            <a:miter lim="127000"/>
                          </a:ln>
                        </wps:spPr>
                        <wps:style>
                          <a:lnRef idx="0">
                            <a:srgbClr val="000000">
                              <a:alpha val="0"/>
                            </a:srgbClr>
                          </a:lnRef>
                          <a:fillRef idx="1">
                            <a:srgbClr val="00AF50"/>
                          </a:fillRef>
                          <a:effectRef idx="0">
                            <a:scrgbClr r="0" g="0" b="0"/>
                          </a:effectRef>
                          <a:fontRef idx="none"/>
                        </wps:style>
                        <wps:bodyPr/>
                      </wps:wsp>
                      <pic:pic xmlns:pic="http://schemas.openxmlformats.org/drawingml/2006/picture">
                        <pic:nvPicPr>
                          <pic:cNvPr id="69" name="Picture 69"/>
                          <pic:cNvPicPr/>
                        </pic:nvPicPr>
                        <pic:blipFill>
                          <a:blip r:embed="rId10"/>
                          <a:stretch>
                            <a:fillRect/>
                          </a:stretch>
                        </pic:blipFill>
                        <pic:spPr>
                          <a:xfrm>
                            <a:off x="103632" y="973074"/>
                            <a:ext cx="598932" cy="92964"/>
                          </a:xfrm>
                          <a:prstGeom prst="rect">
                            <a:avLst/>
                          </a:prstGeom>
                        </pic:spPr>
                      </pic:pic>
                      <wps:wsp>
                        <wps:cNvPr id="71" name="Shape 71"/>
                        <wps:cNvSpPr/>
                        <wps:spPr>
                          <a:xfrm>
                            <a:off x="102870" y="881431"/>
                            <a:ext cx="600240" cy="276301"/>
                          </a:xfrm>
                          <a:custGeom>
                            <a:avLst/>
                            <a:gdLst/>
                            <a:ahLst/>
                            <a:cxnLst/>
                            <a:rect l="0" t="0" r="0" b="0"/>
                            <a:pathLst>
                              <a:path w="600240" h="276301">
                                <a:moveTo>
                                  <a:pt x="0" y="276301"/>
                                </a:moveTo>
                                <a:lnTo>
                                  <a:pt x="600240" y="276301"/>
                                </a:lnTo>
                                <a:lnTo>
                                  <a:pt x="600240" y="0"/>
                                </a:lnTo>
                                <a:lnTo>
                                  <a:pt x="0" y="0"/>
                                </a:lnTo>
                                <a:close/>
                              </a:path>
                            </a:pathLst>
                          </a:custGeom>
                          <a:ln w="12700" cap="flat">
                            <a:miter lim="127000"/>
                          </a:ln>
                        </wps:spPr>
                        <wps:style>
                          <a:lnRef idx="1">
                            <a:srgbClr val="00AF50"/>
                          </a:lnRef>
                          <a:fillRef idx="0">
                            <a:srgbClr val="000000">
                              <a:alpha val="0"/>
                            </a:srgbClr>
                          </a:fillRef>
                          <a:effectRef idx="0">
                            <a:scrgbClr r="0" g="0" b="0"/>
                          </a:effectRef>
                          <a:fontRef idx="none"/>
                        </wps:style>
                        <wps:bodyPr/>
                      </wps:wsp>
                      <pic:pic xmlns:pic="http://schemas.openxmlformats.org/drawingml/2006/picture">
                        <pic:nvPicPr>
                          <pic:cNvPr id="73" name="Picture 73"/>
                          <pic:cNvPicPr/>
                        </pic:nvPicPr>
                        <pic:blipFill>
                          <a:blip r:embed="rId11"/>
                          <a:stretch>
                            <a:fillRect/>
                          </a:stretch>
                        </pic:blipFill>
                        <pic:spPr>
                          <a:xfrm>
                            <a:off x="109728" y="979170"/>
                            <a:ext cx="586740" cy="80772"/>
                          </a:xfrm>
                          <a:prstGeom prst="rect">
                            <a:avLst/>
                          </a:prstGeom>
                        </pic:spPr>
                      </pic:pic>
                      <wps:wsp>
                        <wps:cNvPr id="74" name="Rectangle 74"/>
                        <wps:cNvSpPr/>
                        <wps:spPr>
                          <a:xfrm>
                            <a:off x="202057" y="983981"/>
                            <a:ext cx="51809" cy="207921"/>
                          </a:xfrm>
                          <a:prstGeom prst="rect">
                            <a:avLst/>
                          </a:prstGeom>
                          <a:ln>
                            <a:noFill/>
                          </a:ln>
                        </wps:spPr>
                        <wps:txbx>
                          <w:txbxContent>
                            <w:p w14:paraId="04A98463" w14:textId="77777777" w:rsidR="006C0F5C" w:rsidRDefault="00A026CA">
                              <w:pPr>
                                <w:spacing w:after="160" w:line="259" w:lineRule="auto"/>
                                <w:ind w:left="0" w:right="0" w:firstLine="0"/>
                                <w:jc w:val="left"/>
                              </w:pPr>
                              <w:r>
                                <w:rPr>
                                  <w:rFonts w:ascii="Arial" w:eastAsia="Arial" w:hAnsi="Arial" w:cs="Arial"/>
                                  <w:sz w:val="22"/>
                                </w:rPr>
                                <w:t xml:space="preserve"> </w:t>
                              </w:r>
                            </w:p>
                          </w:txbxContent>
                        </wps:txbx>
                        <wps:bodyPr horzOverflow="overflow" vert="horz" lIns="0" tIns="0" rIns="0" bIns="0" rtlCol="0">
                          <a:noAutofit/>
                        </wps:bodyPr>
                      </wps:wsp>
                      <wps:wsp>
                        <wps:cNvPr id="6350" name="Shape 6350"/>
                        <wps:cNvSpPr/>
                        <wps:spPr>
                          <a:xfrm>
                            <a:off x="102870" y="541363"/>
                            <a:ext cx="600240" cy="283375"/>
                          </a:xfrm>
                          <a:custGeom>
                            <a:avLst/>
                            <a:gdLst/>
                            <a:ahLst/>
                            <a:cxnLst/>
                            <a:rect l="0" t="0" r="0" b="0"/>
                            <a:pathLst>
                              <a:path w="600240" h="283375">
                                <a:moveTo>
                                  <a:pt x="0" y="0"/>
                                </a:moveTo>
                                <a:lnTo>
                                  <a:pt x="600240" y="0"/>
                                </a:lnTo>
                                <a:lnTo>
                                  <a:pt x="600240" y="283375"/>
                                </a:lnTo>
                                <a:lnTo>
                                  <a:pt x="0" y="283375"/>
                                </a:lnTo>
                                <a:lnTo>
                                  <a:pt x="0" y="0"/>
                                </a:lnTo>
                              </a:path>
                            </a:pathLst>
                          </a:custGeom>
                          <a:ln w="0" cap="flat">
                            <a:miter lim="127000"/>
                          </a:ln>
                        </wps:spPr>
                        <wps:style>
                          <a:lnRef idx="0">
                            <a:srgbClr val="000000">
                              <a:alpha val="0"/>
                            </a:srgbClr>
                          </a:lnRef>
                          <a:fillRef idx="1">
                            <a:srgbClr val="FFC000"/>
                          </a:fillRef>
                          <a:effectRef idx="0">
                            <a:scrgbClr r="0" g="0" b="0"/>
                          </a:effectRef>
                          <a:fontRef idx="none"/>
                        </wps:style>
                        <wps:bodyPr/>
                      </wps:wsp>
                      <pic:pic xmlns:pic="http://schemas.openxmlformats.org/drawingml/2006/picture">
                        <pic:nvPicPr>
                          <pic:cNvPr id="77" name="Picture 77"/>
                          <pic:cNvPicPr/>
                        </pic:nvPicPr>
                        <pic:blipFill>
                          <a:blip r:embed="rId12"/>
                          <a:stretch>
                            <a:fillRect/>
                          </a:stretch>
                        </pic:blipFill>
                        <pic:spPr>
                          <a:xfrm>
                            <a:off x="103632" y="633222"/>
                            <a:ext cx="598932" cy="100584"/>
                          </a:xfrm>
                          <a:prstGeom prst="rect">
                            <a:avLst/>
                          </a:prstGeom>
                        </pic:spPr>
                      </pic:pic>
                      <wps:wsp>
                        <wps:cNvPr id="79" name="Shape 79"/>
                        <wps:cNvSpPr/>
                        <wps:spPr>
                          <a:xfrm>
                            <a:off x="102870" y="541363"/>
                            <a:ext cx="600240" cy="283375"/>
                          </a:xfrm>
                          <a:custGeom>
                            <a:avLst/>
                            <a:gdLst/>
                            <a:ahLst/>
                            <a:cxnLst/>
                            <a:rect l="0" t="0" r="0" b="0"/>
                            <a:pathLst>
                              <a:path w="600240" h="283375">
                                <a:moveTo>
                                  <a:pt x="0" y="283375"/>
                                </a:moveTo>
                                <a:lnTo>
                                  <a:pt x="600240" y="283375"/>
                                </a:lnTo>
                                <a:lnTo>
                                  <a:pt x="600240" y="0"/>
                                </a:lnTo>
                                <a:lnTo>
                                  <a:pt x="0" y="0"/>
                                </a:lnTo>
                                <a:close/>
                              </a:path>
                            </a:pathLst>
                          </a:custGeom>
                          <a:ln w="12700" cap="flat">
                            <a:miter lim="127000"/>
                          </a:ln>
                        </wps:spPr>
                        <wps:style>
                          <a:lnRef idx="1">
                            <a:srgbClr val="FFC000"/>
                          </a:lnRef>
                          <a:fillRef idx="0">
                            <a:srgbClr val="000000">
                              <a:alpha val="0"/>
                            </a:srgbClr>
                          </a:fillRef>
                          <a:effectRef idx="0">
                            <a:scrgbClr r="0" g="0" b="0"/>
                          </a:effectRef>
                          <a:fontRef idx="none"/>
                        </wps:style>
                        <wps:bodyPr/>
                      </wps:wsp>
                      <pic:pic xmlns:pic="http://schemas.openxmlformats.org/drawingml/2006/picture">
                        <pic:nvPicPr>
                          <pic:cNvPr id="81" name="Picture 81"/>
                          <pic:cNvPicPr/>
                        </pic:nvPicPr>
                        <pic:blipFill>
                          <a:blip r:embed="rId13"/>
                          <a:stretch>
                            <a:fillRect/>
                          </a:stretch>
                        </pic:blipFill>
                        <pic:spPr>
                          <a:xfrm>
                            <a:off x="109728" y="639318"/>
                            <a:ext cx="586740" cy="88392"/>
                          </a:xfrm>
                          <a:prstGeom prst="rect">
                            <a:avLst/>
                          </a:prstGeom>
                        </pic:spPr>
                      </pic:pic>
                      <wps:wsp>
                        <wps:cNvPr id="82" name="Rectangle 82"/>
                        <wps:cNvSpPr/>
                        <wps:spPr>
                          <a:xfrm>
                            <a:off x="202057" y="644129"/>
                            <a:ext cx="51809" cy="207921"/>
                          </a:xfrm>
                          <a:prstGeom prst="rect">
                            <a:avLst/>
                          </a:prstGeom>
                          <a:ln>
                            <a:noFill/>
                          </a:ln>
                        </wps:spPr>
                        <wps:txbx>
                          <w:txbxContent>
                            <w:p w14:paraId="55F88A1C" w14:textId="77777777" w:rsidR="006C0F5C" w:rsidRDefault="00A026CA">
                              <w:pPr>
                                <w:spacing w:after="160" w:line="259" w:lineRule="auto"/>
                                <w:ind w:left="0" w:right="0" w:firstLine="0"/>
                                <w:jc w:val="left"/>
                              </w:pPr>
                              <w:r>
                                <w:rPr>
                                  <w:rFonts w:ascii="Arial" w:eastAsia="Arial" w:hAnsi="Arial" w:cs="Arial"/>
                                  <w:sz w:val="22"/>
                                </w:rPr>
                                <w:t xml:space="preserve"> </w:t>
                              </w:r>
                            </w:p>
                          </w:txbxContent>
                        </wps:txbx>
                        <wps:bodyPr horzOverflow="overflow" vert="horz" lIns="0" tIns="0" rIns="0" bIns="0" rtlCol="0">
                          <a:noAutofit/>
                        </wps:bodyPr>
                      </wps:wsp>
                      <wps:wsp>
                        <wps:cNvPr id="6351" name="Shape 6351"/>
                        <wps:cNvSpPr/>
                        <wps:spPr>
                          <a:xfrm>
                            <a:off x="102870" y="177191"/>
                            <a:ext cx="600240" cy="269215"/>
                          </a:xfrm>
                          <a:custGeom>
                            <a:avLst/>
                            <a:gdLst/>
                            <a:ahLst/>
                            <a:cxnLst/>
                            <a:rect l="0" t="0" r="0" b="0"/>
                            <a:pathLst>
                              <a:path w="600240" h="269215">
                                <a:moveTo>
                                  <a:pt x="0" y="0"/>
                                </a:moveTo>
                                <a:lnTo>
                                  <a:pt x="600240" y="0"/>
                                </a:lnTo>
                                <a:lnTo>
                                  <a:pt x="600240" y="269215"/>
                                </a:lnTo>
                                <a:lnTo>
                                  <a:pt x="0" y="269215"/>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pic:pic xmlns:pic="http://schemas.openxmlformats.org/drawingml/2006/picture">
                        <pic:nvPicPr>
                          <pic:cNvPr id="85" name="Picture 85"/>
                          <pic:cNvPicPr/>
                        </pic:nvPicPr>
                        <pic:blipFill>
                          <a:blip r:embed="rId14"/>
                          <a:stretch>
                            <a:fillRect/>
                          </a:stretch>
                        </pic:blipFill>
                        <pic:spPr>
                          <a:xfrm>
                            <a:off x="103632" y="268986"/>
                            <a:ext cx="598932" cy="85344"/>
                          </a:xfrm>
                          <a:prstGeom prst="rect">
                            <a:avLst/>
                          </a:prstGeom>
                        </pic:spPr>
                      </pic:pic>
                      <wps:wsp>
                        <wps:cNvPr id="87" name="Shape 87"/>
                        <wps:cNvSpPr/>
                        <wps:spPr>
                          <a:xfrm>
                            <a:off x="102870" y="177191"/>
                            <a:ext cx="600240" cy="269215"/>
                          </a:xfrm>
                          <a:custGeom>
                            <a:avLst/>
                            <a:gdLst/>
                            <a:ahLst/>
                            <a:cxnLst/>
                            <a:rect l="0" t="0" r="0" b="0"/>
                            <a:pathLst>
                              <a:path w="600240" h="269215">
                                <a:moveTo>
                                  <a:pt x="0" y="269215"/>
                                </a:moveTo>
                                <a:lnTo>
                                  <a:pt x="600240" y="269215"/>
                                </a:lnTo>
                                <a:lnTo>
                                  <a:pt x="600240" y="0"/>
                                </a:lnTo>
                                <a:lnTo>
                                  <a:pt x="0" y="0"/>
                                </a:lnTo>
                                <a:close/>
                              </a:path>
                            </a:pathLst>
                          </a:custGeom>
                          <a:ln w="12700" cap="flat">
                            <a:miter lim="127000"/>
                          </a:ln>
                        </wps:spPr>
                        <wps:style>
                          <a:lnRef idx="1">
                            <a:srgbClr val="FF0000"/>
                          </a:lnRef>
                          <a:fillRef idx="0">
                            <a:srgbClr val="000000">
                              <a:alpha val="0"/>
                            </a:srgbClr>
                          </a:fillRef>
                          <a:effectRef idx="0">
                            <a:scrgbClr r="0" g="0" b="0"/>
                          </a:effectRef>
                          <a:fontRef idx="none"/>
                        </wps:style>
                        <wps:bodyPr/>
                      </wps:wsp>
                      <pic:pic xmlns:pic="http://schemas.openxmlformats.org/drawingml/2006/picture">
                        <pic:nvPicPr>
                          <pic:cNvPr id="89" name="Picture 89"/>
                          <pic:cNvPicPr/>
                        </pic:nvPicPr>
                        <pic:blipFill>
                          <a:blip r:embed="rId15"/>
                          <a:stretch>
                            <a:fillRect/>
                          </a:stretch>
                        </pic:blipFill>
                        <pic:spPr>
                          <a:xfrm>
                            <a:off x="109728" y="275082"/>
                            <a:ext cx="586740" cy="73152"/>
                          </a:xfrm>
                          <a:prstGeom prst="rect">
                            <a:avLst/>
                          </a:prstGeom>
                        </pic:spPr>
                      </pic:pic>
                      <wps:wsp>
                        <wps:cNvPr id="90" name="Rectangle 90"/>
                        <wps:cNvSpPr/>
                        <wps:spPr>
                          <a:xfrm>
                            <a:off x="202057" y="279893"/>
                            <a:ext cx="51809" cy="207922"/>
                          </a:xfrm>
                          <a:prstGeom prst="rect">
                            <a:avLst/>
                          </a:prstGeom>
                          <a:ln>
                            <a:noFill/>
                          </a:ln>
                        </wps:spPr>
                        <wps:txbx>
                          <w:txbxContent>
                            <w:p w14:paraId="6DD8E611" w14:textId="77777777" w:rsidR="006C0F5C" w:rsidRDefault="00A026CA">
                              <w:pPr>
                                <w:spacing w:after="160" w:line="259" w:lineRule="auto"/>
                                <w:ind w:left="0" w:right="0" w:firstLine="0"/>
                                <w:jc w:val="left"/>
                              </w:pPr>
                              <w:r>
                                <w:rPr>
                                  <w:rFonts w:ascii="Arial" w:eastAsia="Arial" w:hAnsi="Arial" w:cs="Arial"/>
                                  <w:sz w:val="22"/>
                                </w:rPr>
                                <w:t xml:space="preserve"> </w:t>
                              </w:r>
                            </w:p>
                          </w:txbxContent>
                        </wps:txbx>
                        <wps:bodyPr horzOverflow="overflow" vert="horz" lIns="0" tIns="0" rIns="0" bIns="0" rtlCol="0">
                          <a:noAutofit/>
                        </wps:bodyPr>
                      </wps:wsp>
                      <wps:wsp>
                        <wps:cNvPr id="91" name="Shape 91"/>
                        <wps:cNvSpPr/>
                        <wps:spPr>
                          <a:xfrm>
                            <a:off x="6858" y="0"/>
                            <a:ext cx="1968754" cy="1282319"/>
                          </a:xfrm>
                          <a:custGeom>
                            <a:avLst/>
                            <a:gdLst/>
                            <a:ahLst/>
                            <a:cxnLst/>
                            <a:rect l="0" t="0" r="0" b="0"/>
                            <a:pathLst>
                              <a:path w="1968754" h="1282319">
                                <a:moveTo>
                                  <a:pt x="0" y="1282319"/>
                                </a:moveTo>
                                <a:lnTo>
                                  <a:pt x="1968754" y="1282319"/>
                                </a:lnTo>
                                <a:lnTo>
                                  <a:pt x="1968754"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93" name="Picture 93"/>
                          <pic:cNvPicPr/>
                        </pic:nvPicPr>
                        <pic:blipFill>
                          <a:blip r:embed="rId16"/>
                          <a:stretch>
                            <a:fillRect/>
                          </a:stretch>
                        </pic:blipFill>
                        <pic:spPr>
                          <a:xfrm>
                            <a:off x="13716" y="6858"/>
                            <a:ext cx="1955292" cy="1269492"/>
                          </a:xfrm>
                          <a:prstGeom prst="rect">
                            <a:avLst/>
                          </a:prstGeom>
                        </pic:spPr>
                      </pic:pic>
                      <wps:wsp>
                        <wps:cNvPr id="94" name="Rectangle 94"/>
                        <wps:cNvSpPr/>
                        <wps:spPr>
                          <a:xfrm>
                            <a:off x="14605" y="119873"/>
                            <a:ext cx="51809" cy="207922"/>
                          </a:xfrm>
                          <a:prstGeom prst="rect">
                            <a:avLst/>
                          </a:prstGeom>
                          <a:ln>
                            <a:noFill/>
                          </a:ln>
                        </wps:spPr>
                        <wps:txbx>
                          <w:txbxContent>
                            <w:p w14:paraId="387E9A2D" w14:textId="77777777" w:rsidR="006C0F5C" w:rsidRDefault="00A026CA">
                              <w:pPr>
                                <w:spacing w:after="160" w:line="259" w:lineRule="auto"/>
                                <w:ind w:left="0" w:right="0" w:firstLine="0"/>
                                <w:jc w:val="left"/>
                              </w:pPr>
                              <w:r>
                                <w:rPr>
                                  <w:rFonts w:ascii="Arial" w:eastAsia="Arial" w:hAnsi="Arial" w:cs="Arial"/>
                                  <w:sz w:val="22"/>
                                </w:rPr>
                                <w:t xml:space="preserve"> </w:t>
                              </w:r>
                            </w:p>
                          </w:txbxContent>
                        </wps:txbx>
                        <wps:bodyPr horzOverflow="overflow" vert="horz" lIns="0" tIns="0" rIns="0" bIns="0" rtlCol="0">
                          <a:noAutofit/>
                        </wps:bodyPr>
                      </wps:wsp>
                      <wps:wsp>
                        <wps:cNvPr id="95" name="Rectangle 95"/>
                        <wps:cNvSpPr/>
                        <wps:spPr>
                          <a:xfrm>
                            <a:off x="851662" y="325628"/>
                            <a:ext cx="695481" cy="171355"/>
                          </a:xfrm>
                          <a:prstGeom prst="rect">
                            <a:avLst/>
                          </a:prstGeom>
                          <a:ln>
                            <a:noFill/>
                          </a:ln>
                        </wps:spPr>
                        <wps:txbx>
                          <w:txbxContent>
                            <w:p w14:paraId="1395FCB5" w14:textId="77777777" w:rsidR="006C0F5C" w:rsidRDefault="00A026CA">
                              <w:pPr>
                                <w:spacing w:after="160" w:line="259" w:lineRule="auto"/>
                                <w:ind w:left="0" w:right="0" w:firstLine="0"/>
                                <w:jc w:val="left"/>
                              </w:pPr>
                              <w:r>
                                <w:rPr>
                                  <w:rFonts w:ascii="Calibri" w:eastAsia="Calibri" w:hAnsi="Calibri" w:cs="Calibri"/>
                                  <w:sz w:val="20"/>
                                </w:rPr>
                                <w:t>HIGH RISK</w:t>
                              </w:r>
                            </w:p>
                          </w:txbxContent>
                        </wps:txbx>
                        <wps:bodyPr horzOverflow="overflow" vert="horz" lIns="0" tIns="0" rIns="0" bIns="0" rtlCol="0">
                          <a:noAutofit/>
                        </wps:bodyPr>
                      </wps:wsp>
                      <wps:wsp>
                        <wps:cNvPr id="96" name="Rectangle 96"/>
                        <wps:cNvSpPr/>
                        <wps:spPr>
                          <a:xfrm>
                            <a:off x="1375918" y="325628"/>
                            <a:ext cx="38021" cy="171355"/>
                          </a:xfrm>
                          <a:prstGeom prst="rect">
                            <a:avLst/>
                          </a:prstGeom>
                          <a:ln>
                            <a:noFill/>
                          </a:ln>
                        </wps:spPr>
                        <wps:txbx>
                          <w:txbxContent>
                            <w:p w14:paraId="01B9AB98" w14:textId="77777777" w:rsidR="006C0F5C" w:rsidRDefault="00A026CA">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97" name="Rectangle 97"/>
                        <wps:cNvSpPr/>
                        <wps:spPr>
                          <a:xfrm>
                            <a:off x="851662" y="636525"/>
                            <a:ext cx="1000658" cy="171355"/>
                          </a:xfrm>
                          <a:prstGeom prst="rect">
                            <a:avLst/>
                          </a:prstGeom>
                          <a:ln>
                            <a:noFill/>
                          </a:ln>
                        </wps:spPr>
                        <wps:txbx>
                          <w:txbxContent>
                            <w:p w14:paraId="3BA9304F" w14:textId="77777777" w:rsidR="006C0F5C" w:rsidRDefault="00A026CA">
                              <w:pPr>
                                <w:spacing w:after="160" w:line="259" w:lineRule="auto"/>
                                <w:ind w:left="0" w:right="0" w:firstLine="0"/>
                                <w:jc w:val="left"/>
                              </w:pPr>
                              <w:r>
                                <w:rPr>
                                  <w:rFonts w:ascii="Calibri" w:eastAsia="Calibri" w:hAnsi="Calibri" w:cs="Calibri"/>
                                  <w:sz w:val="20"/>
                                </w:rPr>
                                <w:t xml:space="preserve">MEDIUM RISK </w:t>
                              </w:r>
                            </w:p>
                          </w:txbxContent>
                        </wps:txbx>
                        <wps:bodyPr horzOverflow="overflow" vert="horz" lIns="0" tIns="0" rIns="0" bIns="0" rtlCol="0">
                          <a:noAutofit/>
                        </wps:bodyPr>
                      </wps:wsp>
                      <wps:wsp>
                        <wps:cNvPr id="98" name="Rectangle 98"/>
                        <wps:cNvSpPr/>
                        <wps:spPr>
                          <a:xfrm>
                            <a:off x="1604518" y="636525"/>
                            <a:ext cx="38021" cy="171355"/>
                          </a:xfrm>
                          <a:prstGeom prst="rect">
                            <a:avLst/>
                          </a:prstGeom>
                          <a:ln>
                            <a:noFill/>
                          </a:ln>
                        </wps:spPr>
                        <wps:txbx>
                          <w:txbxContent>
                            <w:p w14:paraId="2B7D96F5" w14:textId="77777777" w:rsidR="006C0F5C" w:rsidRDefault="00A026CA">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99" name="Rectangle 99"/>
                        <wps:cNvSpPr/>
                        <wps:spPr>
                          <a:xfrm>
                            <a:off x="851662" y="947420"/>
                            <a:ext cx="669068" cy="171356"/>
                          </a:xfrm>
                          <a:prstGeom prst="rect">
                            <a:avLst/>
                          </a:prstGeom>
                          <a:ln>
                            <a:noFill/>
                          </a:ln>
                        </wps:spPr>
                        <wps:txbx>
                          <w:txbxContent>
                            <w:p w14:paraId="1A669A01" w14:textId="77777777" w:rsidR="006C0F5C" w:rsidRDefault="00A026CA">
                              <w:pPr>
                                <w:spacing w:after="160" w:line="259" w:lineRule="auto"/>
                                <w:ind w:left="0" w:right="0" w:firstLine="0"/>
                                <w:jc w:val="left"/>
                              </w:pPr>
                              <w:r>
                                <w:rPr>
                                  <w:rFonts w:ascii="Calibri" w:eastAsia="Calibri" w:hAnsi="Calibri" w:cs="Calibri"/>
                                  <w:sz w:val="20"/>
                                </w:rPr>
                                <w:t>LOW RISK</w:t>
                              </w:r>
                            </w:p>
                          </w:txbxContent>
                        </wps:txbx>
                        <wps:bodyPr horzOverflow="overflow" vert="horz" lIns="0" tIns="0" rIns="0" bIns="0" rtlCol="0">
                          <a:noAutofit/>
                        </wps:bodyPr>
                      </wps:wsp>
                      <wps:wsp>
                        <wps:cNvPr id="100" name="Rectangle 100"/>
                        <wps:cNvSpPr/>
                        <wps:spPr>
                          <a:xfrm>
                            <a:off x="1356106" y="947420"/>
                            <a:ext cx="38021" cy="171356"/>
                          </a:xfrm>
                          <a:prstGeom prst="rect">
                            <a:avLst/>
                          </a:prstGeom>
                          <a:ln>
                            <a:noFill/>
                          </a:ln>
                        </wps:spPr>
                        <wps:txbx>
                          <w:txbxContent>
                            <w:p w14:paraId="37ADA483" w14:textId="77777777" w:rsidR="006C0F5C" w:rsidRDefault="00A026CA">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g:wgp>
                  </a:graphicData>
                </a:graphic>
              </wp:inline>
            </w:drawing>
          </mc:Choice>
          <mc:Fallback>
            <w:pict>
              <v:group w14:anchorId="373B3BE3" id="Group 5560" o:spid="_x0000_s1026" style="width:93.8pt;height:108.75pt;mso-position-horizontal-relative:char;mso-position-vertical-relative:line" coordsize="19827,1282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gEcNbVkAAd3iH+AAAAAASUVORK5C&#13;&#10;YIJQSwMECgAAAAAAAAAhAF6Fej4UAgAAFAIAABQAAABkcnMvbWVkaWEvaW1hZ2UyLnBuZ4lQTkcN&#13;&#10;ChoKAAAADUlIRFIAAAGuAAAA8QgGAAAAk1pTDAAAAAFzUkdCAK7OHOkAAAAEZ0FNQQAAsY8L/GEF&#13;&#10;AAAACXBIWXMAAA7DAAAOwwHHb6hkAAABqUlEQVR4Xu3BMQEAAADCoPVPbQ0PI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2" o:spid="_x0000_s1027" type="#_x0000_t75" style="position:absolute;top:861;width:19827;height:111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">
                  <v:imagedata r:id="rId17" o:title=""/>
                </v:shape>
                <v:shape id="Picture 65" o:spid="_x0000_s1028" type="#_x0000_t75" style="position:absolute;top:861;width:19674;height:110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">
                  <v:imagedata r:id="rId18" o:title=""/>
                </v:shape>
                <v:rect id="Rectangle 66" o:spid="_x0000_s1029" style="position:absolute;left:923;top:5496;width:518;height:20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" filled="f" stroked="f">
                  <v:textbox inset="0,0,0,0">
                    <w:txbxContent>
                      <w:p w14:paraId="7FFAE1B6" w14:textId="77777777" w:rsidR="006C0F5C" w:rsidRDefault="00A026CA">
                        <w:pPr>
                          <w:spacing w:after="160" w:line="259" w:lineRule="auto"/>
                          <w:ind w:left="0" w:right="0" w:firstLine="0"/>
                          <w:jc w:val="left"/>
                        </w:pPr>
                        <w:r>
                          <w:rPr>
                            <w:rFonts w:ascii="Arial" w:eastAsia="Arial" w:hAnsi="Arial" w:cs="Arial"/>
                            <w:sz w:val="22"/>
                          </w:rPr>
                          <w:t xml:space="preserve"> </w:t>
                        </w:r>
                      </w:p>
                    </w:txbxContent>
                  </v:textbox>
                </v:rect>
                <v:shape id="Shape 6349" o:spid="_x0000_s1030" style="position:absolute;left:1028;top:8814;width:6003;height:2763;visibility:visible;mso-wrap-style:square;v-text-anchor:top" coordsize="600240,2763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" path="m,l600240,r,276301l,276301,,e" fillcolor="#00af50" stroked="f" strokeweight="0">
                  <v:stroke miterlimit="83231f" joinstyle="miter"/>
                  <v:path arrowok="t" textboxrect="0,0,600240,276301"/>
                </v:shape>
                <v:shape id="Picture 69" o:spid="_x0000_s1031" type="#_x0000_t75" style="position:absolute;left:1036;top:9730;width:5989;height:93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">
                  <v:imagedata r:id="rId19" o:title=""/>
                </v:shape>
                <v:shape id="Shape 71" o:spid="_x0000_s1032" style="position:absolute;left:1028;top:8814;width:6003;height:2763;visibility:visible;mso-wrap-style:square;v-text-anchor:top" coordsize="600240,2763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" path="m,276301r600240,l600240,,,,,276301xe" filled="f" strokecolor="#00af50" strokeweight="1pt">
                  <v:stroke miterlimit="83231f" joinstyle="miter"/>
                  <v:path arrowok="t" textboxrect="0,0,600240,276301"/>
                </v:shape>
                <v:shape id="Picture 73" o:spid="_x0000_s1033" type="#_x0000_t75" style="position:absolute;left:1097;top:9791;width:5867;height:8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">
                  <v:imagedata r:id="rId20" o:title=""/>
                </v:shape>
                <v:rect id="Rectangle 74" o:spid="_x0000_s1034" style="position:absolute;left:2020;top:9839;width:518;height:20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" filled="f" stroked="f">
                  <v:textbox inset="0,0,0,0">
                    <w:txbxContent>
                      <w:p w14:paraId="04A98463" w14:textId="77777777" w:rsidR="006C0F5C" w:rsidRDefault="00A026CA">
                        <w:pPr>
                          <w:spacing w:after="160" w:line="259" w:lineRule="auto"/>
                          <w:ind w:left="0" w:right="0" w:firstLine="0"/>
                          <w:jc w:val="left"/>
                        </w:pPr>
                        <w:r>
                          <w:rPr>
                            <w:rFonts w:ascii="Arial" w:eastAsia="Arial" w:hAnsi="Arial" w:cs="Arial"/>
                            <w:sz w:val="22"/>
                          </w:rPr>
                          <w:t xml:space="preserve"> </w:t>
                        </w:r>
                      </w:p>
                    </w:txbxContent>
                  </v:textbox>
                </v:rect>
                <v:shape id="Shape 6350" o:spid="_x0000_s1035" style="position:absolute;left:1028;top:5413;width:6003;height:2834;visibility:visible;mso-wrap-style:square;v-text-anchor:top" coordsize="600240,2833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" path="m,l600240,r,283375l,283375,,e" fillcolor="#ffc000" stroked="f" strokeweight="0">
                  <v:stroke miterlimit="83231f" joinstyle="miter"/>
                  <v:path arrowok="t" textboxrect="0,0,600240,283375"/>
                </v:shape>
                <v:shape id="Picture 77" o:spid="_x0000_s1036" type="#_x0000_t75" style="position:absolute;left:1036;top:6332;width:5989;height:100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">
                  <v:imagedata r:id="rId21" o:title=""/>
                </v:shape>
                <v:shape id="Shape 79" o:spid="_x0000_s1037" style="position:absolute;left:1028;top:5413;width:6003;height:2834;visibility:visible;mso-wrap-style:square;v-text-anchor:top" coordsize="600240,2833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" path="m,283375r600240,l600240,,,,,283375xe" filled="f" strokecolor="#ffc000" strokeweight="1pt">
                  <v:stroke miterlimit="83231f" joinstyle="miter"/>
                  <v:path arrowok="t" textboxrect="0,0,600240,283375"/>
                </v:shape>
                <v:shape id="Picture 81" o:spid="_x0000_s1038" type="#_x0000_t75" style="position:absolute;left:1097;top:6393;width:5867;height:8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">
                  <v:imagedata r:id="rId22" o:title=""/>
                </v:shape>
                <v:rect id="Rectangle 82" o:spid="_x0000_s1039" style="position:absolute;left:2020;top:6441;width:518;height:20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" filled="f" stroked="f">
                  <v:textbox inset="0,0,0,0">
                    <w:txbxContent>
                      <w:p w14:paraId="55F88A1C" w14:textId="77777777" w:rsidR="006C0F5C" w:rsidRDefault="00A026CA">
                        <w:pPr>
                          <w:spacing w:after="160" w:line="259" w:lineRule="auto"/>
                          <w:ind w:left="0" w:right="0" w:firstLine="0"/>
                          <w:jc w:val="left"/>
                        </w:pPr>
                        <w:r>
                          <w:rPr>
                            <w:rFonts w:ascii="Arial" w:eastAsia="Arial" w:hAnsi="Arial" w:cs="Arial"/>
                            <w:sz w:val="22"/>
                          </w:rPr>
                          <w:t xml:space="preserve"> </w:t>
                        </w:r>
                      </w:p>
                    </w:txbxContent>
                  </v:textbox>
                </v:rect>
                <v:shape id="Shape 6351" o:spid="_x0000_s1040" style="position:absolute;left:1028;top:1771;width:6003;height:2693;visibility:visible;mso-wrap-style:square;v-text-anchor:top" coordsize="600240,269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" path="m,l600240,r,269215l,269215,,e" fillcolor="red" stroked="f" strokeweight="0">
                  <v:stroke miterlimit="83231f" joinstyle="miter"/>
                  <v:path arrowok="t" textboxrect="0,0,600240,269215"/>
                </v:shape>
                <v:shape id="Picture 85" o:spid="_x0000_s1041" type="#_x0000_t75" style="position:absolute;left:1036;top:2689;width:5989;height:85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">
                  <v:imagedata r:id="rId23" o:title=""/>
                </v:shape>
                <v:shape id="Shape 87" o:spid="_x0000_s1042" style="position:absolute;left:1028;top:1771;width:6003;height:2693;visibility:visible;mso-wrap-style:square;v-text-anchor:top" coordsize="600240,269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" path="m,269215r600240,l600240,,,,,269215xe" filled="f" strokecolor="red" strokeweight="1pt">
                  <v:stroke miterlimit="83231f" joinstyle="miter"/>
                  <v:path arrowok="t" textboxrect="0,0,600240,269215"/>
                </v:shape>
                <v:shape id="Picture 89" o:spid="_x0000_s1043" type="#_x0000_t75" style="position:absolute;left:1097;top:2750;width:5867;height:7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">
                  <v:imagedata r:id="rId24" o:title=""/>
                </v:shape>
                <v:rect id="Rectangle 90" o:spid="_x0000_s1044" style="position:absolute;left:2020;top:2798;width:518;height:20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" filled="f" stroked="f">
                  <v:textbox inset="0,0,0,0">
                    <w:txbxContent>
                      <w:p w14:paraId="6DD8E611" w14:textId="77777777" w:rsidR="006C0F5C" w:rsidRDefault="00A026CA">
                        <w:pPr>
                          <w:spacing w:after="160" w:line="259" w:lineRule="auto"/>
                          <w:ind w:left="0" w:right="0" w:firstLine="0"/>
                          <w:jc w:val="left"/>
                        </w:pPr>
                        <w:r>
                          <w:rPr>
                            <w:rFonts w:ascii="Arial" w:eastAsia="Arial" w:hAnsi="Arial" w:cs="Arial"/>
                            <w:sz w:val="22"/>
                          </w:rPr>
                          <w:t xml:space="preserve"> </w:t>
                        </w:r>
                      </w:p>
                    </w:txbxContent>
                  </v:textbox>
                </v:rect>
                <v:shape id="Shape 91" o:spid="_x0000_s1045" style="position:absolute;left:68;width:19688;height:12823;visibility:visible;mso-wrap-style:square;v-text-anchor:top" coordsize="1968754,128231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" path="m,1282319r1968754,l1968754,,,,,1282319xe" filled="f" strokeweight="1pt">
                  <v:stroke miterlimit="83231f" joinstyle="miter"/>
                  <v:path arrowok="t" textboxrect="0,0,1968754,1282319"/>
                </v:shape>
                <v:shape id="Picture 93" o:spid="_x0000_s1046" type="#_x0000_t75" style="position:absolute;left:137;top:68;width:19553;height:1269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">
                  <v:imagedata r:id="rId25" o:title=""/>
                </v:shape>
                <v:rect id="Rectangle 94" o:spid="_x0000_s1047" style="position:absolute;left:146;top:1198;width:518;height:20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" filled="f" stroked="f">
                  <v:textbox inset="0,0,0,0">
                    <w:txbxContent>
                      <w:p w14:paraId="387E9A2D" w14:textId="77777777" w:rsidR="006C0F5C" w:rsidRDefault="00A026CA">
                        <w:pPr>
                          <w:spacing w:after="160" w:line="259" w:lineRule="auto"/>
                          <w:ind w:left="0" w:right="0" w:firstLine="0"/>
                          <w:jc w:val="left"/>
                        </w:pPr>
                        <w:r>
                          <w:rPr>
                            <w:rFonts w:ascii="Arial" w:eastAsia="Arial" w:hAnsi="Arial" w:cs="Arial"/>
                            <w:sz w:val="22"/>
                          </w:rPr>
                          <w:t xml:space="preserve"> </w:t>
                        </w:r>
                      </w:p>
                    </w:txbxContent>
                  </v:textbox>
                </v:rect>
                <v:rect id="Rectangle 95" o:spid="_x0000_s1048" style="position:absolute;left:8516;top:3256;width:6955;height:17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" filled="f" stroked="f">
                  <v:textbox inset="0,0,0,0">
                    <w:txbxContent>
                      <w:p w14:paraId="1395FCB5" w14:textId="77777777" w:rsidR="006C0F5C" w:rsidRDefault="00A026CA">
                        <w:pPr>
                          <w:spacing w:after="160" w:line="259" w:lineRule="auto"/>
                          <w:ind w:left="0" w:right="0" w:firstLine="0"/>
                          <w:jc w:val="left"/>
                        </w:pPr>
                        <w:r>
                          <w:rPr>
                            <w:rFonts w:ascii="Calibri" w:eastAsia="Calibri" w:hAnsi="Calibri" w:cs="Calibri"/>
                            <w:sz w:val="20"/>
                          </w:rPr>
                          <w:t>HIGH RISK</w:t>
                        </w:r>
                      </w:p>
                    </w:txbxContent>
                  </v:textbox>
                </v:rect>
                <v:rect id="Rectangle 96" o:spid="_x0000_s1049" style="position:absolute;left:13759;top:3256;width:380;height:17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" filled="f" stroked="f">
                  <v:textbox inset="0,0,0,0">
                    <w:txbxContent>
                      <w:p w14:paraId="01B9AB98" w14:textId="77777777" w:rsidR="006C0F5C" w:rsidRDefault="00A026CA">
                        <w:pPr>
                          <w:spacing w:after="160" w:line="259" w:lineRule="auto"/>
                          <w:ind w:left="0" w:right="0" w:firstLine="0"/>
                          <w:jc w:val="left"/>
                        </w:pPr>
                        <w:r>
                          <w:rPr>
                            <w:rFonts w:ascii="Calibri" w:eastAsia="Calibri" w:hAnsi="Calibri" w:cs="Calibri"/>
                            <w:sz w:val="20"/>
                          </w:rPr>
                          <w:t xml:space="preserve"> </w:t>
                        </w:r>
                      </w:p>
                    </w:txbxContent>
                  </v:textbox>
                </v:rect>
                <v:rect id="Rectangle 97" o:spid="_x0000_s1050" style="position:absolute;left:8516;top:6365;width:10007;height:17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" filled="f" stroked="f">
                  <v:textbox inset="0,0,0,0">
                    <w:txbxContent>
                      <w:p w14:paraId="3BA9304F" w14:textId="77777777" w:rsidR="006C0F5C" w:rsidRDefault="00A026CA">
                        <w:pPr>
                          <w:spacing w:after="160" w:line="259" w:lineRule="auto"/>
                          <w:ind w:left="0" w:right="0" w:firstLine="0"/>
                          <w:jc w:val="left"/>
                        </w:pPr>
                        <w:r>
                          <w:rPr>
                            <w:rFonts w:ascii="Calibri" w:eastAsia="Calibri" w:hAnsi="Calibri" w:cs="Calibri"/>
                            <w:sz w:val="20"/>
                          </w:rPr>
                          <w:t xml:space="preserve">MEDIUM RISK </w:t>
                        </w:r>
                      </w:p>
                    </w:txbxContent>
                  </v:textbox>
                </v:rect>
                <v:rect id="Rectangle 98" o:spid="_x0000_s1051" style="position:absolute;left:16045;top:6365;width:380;height:17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" filled="f" stroked="f">
                  <v:textbox inset="0,0,0,0">
                    <w:txbxContent>
                      <w:p w14:paraId="2B7D96F5" w14:textId="77777777" w:rsidR="006C0F5C" w:rsidRDefault="00A026CA">
                        <w:pPr>
                          <w:spacing w:after="160" w:line="259" w:lineRule="auto"/>
                          <w:ind w:left="0" w:right="0" w:firstLine="0"/>
                          <w:jc w:val="left"/>
                        </w:pPr>
                        <w:r>
                          <w:rPr>
                            <w:rFonts w:ascii="Calibri" w:eastAsia="Calibri" w:hAnsi="Calibri" w:cs="Calibri"/>
                            <w:sz w:val="20"/>
                          </w:rPr>
                          <w:t xml:space="preserve"> </w:t>
                        </w:r>
                      </w:p>
                    </w:txbxContent>
                  </v:textbox>
                </v:rect>
                <v:rect id="Rectangle 99" o:spid="_x0000_s1052" style="position:absolute;left:8516;top:9474;width:6691;height:17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" filled="f" stroked="f">
                  <v:textbox inset="0,0,0,0">
                    <w:txbxContent>
                      <w:p w14:paraId="1A669A01" w14:textId="77777777" w:rsidR="006C0F5C" w:rsidRDefault="00A026CA">
                        <w:pPr>
                          <w:spacing w:after="160" w:line="259" w:lineRule="auto"/>
                          <w:ind w:left="0" w:right="0" w:firstLine="0"/>
                          <w:jc w:val="left"/>
                        </w:pPr>
                        <w:r>
                          <w:rPr>
                            <w:rFonts w:ascii="Calibri" w:eastAsia="Calibri" w:hAnsi="Calibri" w:cs="Calibri"/>
                            <w:sz w:val="20"/>
                          </w:rPr>
                          <w:t>LOW RISK</w:t>
                        </w:r>
                      </w:p>
                    </w:txbxContent>
                  </v:textbox>
                </v:rect>
                <v:rect id="Rectangle 100" o:spid="_x0000_s1053" style="position:absolute;left:13561;top:9474;width:380;height:17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" filled="f" stroked="f">
                  <v:textbox inset="0,0,0,0">
                    <w:txbxContent>
                      <w:p w14:paraId="37ADA483" w14:textId="77777777" w:rsidR="006C0F5C" w:rsidRDefault="00A026CA">
                        <w:pPr>
                          <w:spacing w:after="160" w:line="259" w:lineRule="auto"/>
                          <w:ind w:left="0" w:right="0" w:firstLine="0"/>
                          <w:jc w:val="left"/>
                        </w:pPr>
                        <w:r>
                          <w:rPr>
                            <w:rFonts w:ascii="Calibri" w:eastAsia="Calibri" w:hAnsi="Calibri" w:cs="Calibri"/>
                            <w:sz w:val="20"/>
                          </w:rPr>
                          <w:t xml:space="preserve"> </w:t>
                        </w:r>
                      </w:p>
                    </w:txbxContent>
                  </v:textbox>
                </v:rect>
                <w10:anchorlock/>
              </v:group>
            </w:pict>
          </mc:Fallback>
        </mc:AlternateContent>
      </w:r>
    </w:p>
    <w:p w14:paraId="7EB9090E" w14:textId="77777777" w:rsidR="006C0F5C" w:rsidRDefault="00A026CA">
      <w:pPr>
        <w:spacing w:after="42" w:line="259" w:lineRule="auto"/>
        <w:ind w:left="276" w:right="0" w:firstLine="0"/>
        <w:jc w:val="left"/>
      </w:pPr>
      <w:r>
        <w:rPr>
          <w:rFonts w:ascii="Times New Roman" w:eastAsia="Times New Roman" w:hAnsi="Times New Roman" w:cs="Times New Roman"/>
          <w:color w:val="2F5496"/>
          <w:sz w:val="28"/>
        </w:rPr>
        <w:t xml:space="preserve"> </w:t>
      </w:r>
    </w:p>
    <w:p w14:paraId="1B9D6363" w14:textId="77777777" w:rsidR="006C0F5C" w:rsidRPr="00FF5BEF" w:rsidRDefault="00A026CA" w:rsidP="00FF5BEF">
      <w:pPr>
        <w:pStyle w:val="Heading1"/>
        <w:spacing w:after="321" w:line="276" w:lineRule="auto"/>
        <w:ind w:left="276" w:firstLine="0"/>
        <w:rPr>
          <w:rFonts w:asciiTheme="minorHAnsi" w:eastAsia="Arial" w:hAnsiTheme="minorHAnsi" w:cstheme="minorHAnsi"/>
          <w:u w:val="none"/>
        </w:rPr>
      </w:pPr>
      <w:r w:rsidRPr="00FF5BEF">
        <w:rPr>
          <w:rFonts w:asciiTheme="minorHAnsi" w:eastAsia="Arial" w:hAnsiTheme="minorHAnsi" w:cstheme="minorHAnsi"/>
          <w:u w:val="none"/>
        </w:rPr>
        <w:t xml:space="preserve">EXECUTIVE SUMMARY </w:t>
      </w:r>
    </w:p>
    <w:p w14:paraId="61B8B859" w14:textId="77777777" w:rsidR="00757A04" w:rsidRPr="00FF5BEF" w:rsidRDefault="00757A04" w:rsidP="0036170A">
      <w:pPr>
        <w:spacing w:line="276" w:lineRule="auto"/>
        <w:ind w:left="276" w:firstLine="0"/>
        <w:rPr>
          <w:rFonts w:asciiTheme="minorHAnsi" w:hAnsiTheme="minorHAnsi" w:cstheme="minorHAnsi"/>
        </w:rPr>
      </w:pPr>
      <w:r w:rsidRPr="00FF5BEF">
        <w:rPr>
          <w:rFonts w:asciiTheme="minorHAnsi" w:hAnsiTheme="minorHAnsi" w:cstheme="minorHAnsi"/>
        </w:rPr>
        <w:t>As climate change, governance, security, and public health challenges continue to evolve, Africa faces an increasingly complex risk environment shaped by both domestic developments and broader global trends. Climate experts have linked the recent deadly floods across parts of West Africa to human-induced climate change, while forecasts of continued heavy rainfall point to heightened flood risks across West and Central Africa. At the same time, humanitarian agencies continue to raise concerns over worsening conditions in the Sahel, where climate shocks, armed conflict, displacement, and food insecurity are placing millions of people in need of assistance.</w:t>
      </w:r>
    </w:p>
    <w:p w14:paraId="068509C0" w14:textId="77777777" w:rsidR="00757A04" w:rsidRPr="00FF5BEF" w:rsidRDefault="00757A04" w:rsidP="00FF5BEF">
      <w:pPr>
        <w:spacing w:line="276" w:lineRule="auto"/>
        <w:rPr>
          <w:rFonts w:asciiTheme="minorHAnsi" w:hAnsiTheme="minorHAnsi" w:cstheme="minorHAnsi"/>
        </w:rPr>
      </w:pPr>
    </w:p>
    <w:p w14:paraId="38D3AEF1" w14:textId="77777777" w:rsidR="00757A04" w:rsidRPr="00FF5BEF" w:rsidRDefault="00757A04" w:rsidP="00FF5BEF">
      <w:pPr>
        <w:spacing w:line="276" w:lineRule="auto"/>
        <w:rPr>
          <w:rFonts w:asciiTheme="minorHAnsi" w:hAnsiTheme="minorHAnsi" w:cstheme="minorHAnsi"/>
        </w:rPr>
      </w:pPr>
      <w:r w:rsidRPr="00FF5BEF">
        <w:rPr>
          <w:rFonts w:asciiTheme="minorHAnsi" w:hAnsiTheme="minorHAnsi" w:cstheme="minorHAnsi"/>
        </w:rPr>
        <w:t>Political and security developments reflect a similarly dynamic landscape. São Tomé and Príncipe is preparing for a closely watched presidential election, while a Nigerian court's decision to overturn key provisions of the Electoral Act has sparked debate over the country's electoral framework. Sudan has intensified its legal dispute with the United Arab Emirates over alleged support for the Rapid Support Forces, even as the G7 and European Union renewed calls for an immediate ceasefire. Elsewhere, the United Nations has warned that terrorist groups in West Africa and the Sahel are acquiring more sophisticated weapons, renewed piracy off the coasts of Yemen and Somalia has raised concerns over maritime security, and continued violence in Mali highlights the persistent threat posed by armed groups.</w:t>
      </w:r>
    </w:p>
    <w:p w14:paraId="2BEB2320" w14:textId="77777777" w:rsidR="00757A04" w:rsidRPr="00FF5BEF" w:rsidRDefault="00757A04" w:rsidP="00FF5BEF">
      <w:pPr>
        <w:spacing w:line="276" w:lineRule="auto"/>
        <w:rPr>
          <w:rFonts w:asciiTheme="minorHAnsi" w:hAnsiTheme="minorHAnsi" w:cstheme="minorHAnsi"/>
        </w:rPr>
      </w:pPr>
    </w:p>
    <w:p w14:paraId="301914C6" w14:textId="5891F732" w:rsidR="00654AC3" w:rsidRPr="00FF5BEF" w:rsidRDefault="00757A04" w:rsidP="0038482B">
      <w:pPr>
        <w:spacing w:line="276" w:lineRule="auto"/>
        <w:rPr>
          <w:rFonts w:asciiTheme="minorHAnsi" w:hAnsiTheme="minorHAnsi" w:cstheme="minorHAnsi"/>
        </w:rPr>
      </w:pPr>
      <w:r w:rsidRPr="00FF5BEF">
        <w:rPr>
          <w:rFonts w:asciiTheme="minorHAnsi" w:hAnsiTheme="minorHAnsi" w:cstheme="minorHAnsi"/>
        </w:rPr>
        <w:lastRenderedPageBreak/>
        <w:t>Public health developments remain mixed across the region. Yobe State has expanded health insurance coverage to retirees as part of efforts to improve access to healthcare, while Nigeria continues to battle a growing Lassa fever outbreak across multiple states, prompting stronger surveillance measures and mandatory malaria testing in Lagos to improve the detection of infectious diseases.</w:t>
      </w:r>
    </w:p>
    <w:p w14:paraId="2E399A87" w14:textId="02D32670" w:rsidR="006C0F5C" w:rsidRPr="00FF5BEF" w:rsidRDefault="006C0F5C" w:rsidP="00FF5BEF">
      <w:pPr>
        <w:spacing w:after="16" w:line="276" w:lineRule="auto"/>
        <w:ind w:left="276" w:right="0" w:firstLine="0"/>
        <w:rPr>
          <w:rFonts w:asciiTheme="minorHAnsi" w:hAnsiTheme="minorHAnsi" w:cstheme="minorHAnsi"/>
        </w:rPr>
      </w:pPr>
    </w:p>
    <w:p w14:paraId="72EA0B13" w14:textId="77777777" w:rsidR="006C0F5C" w:rsidRPr="00FF5BEF" w:rsidRDefault="00A026CA" w:rsidP="00FF5BEF">
      <w:pPr>
        <w:spacing w:after="0" w:line="276" w:lineRule="auto"/>
        <w:ind w:left="276" w:right="0" w:firstLine="0"/>
        <w:rPr>
          <w:rFonts w:asciiTheme="minorHAnsi" w:hAnsiTheme="minorHAnsi" w:cstheme="minorHAnsi"/>
        </w:rPr>
      </w:pPr>
      <w:r w:rsidRPr="00FF5BEF">
        <w:rPr>
          <w:rFonts w:asciiTheme="minorHAnsi" w:hAnsiTheme="minorHAnsi" w:cstheme="minorHAnsi"/>
        </w:rPr>
        <w:t xml:space="preserve"> </w:t>
      </w:r>
    </w:p>
    <w:p w14:paraId="17B7D689" w14:textId="77777777" w:rsidR="006C0F5C" w:rsidRPr="00FF5BEF" w:rsidRDefault="00A026CA" w:rsidP="00FF5BEF">
      <w:pPr>
        <w:pStyle w:val="Heading1"/>
        <w:spacing w:line="276" w:lineRule="auto"/>
        <w:ind w:left="271"/>
        <w:jc w:val="both"/>
        <w:rPr>
          <w:rFonts w:asciiTheme="minorHAnsi" w:hAnsiTheme="minorHAnsi" w:cstheme="minorHAnsi"/>
        </w:rPr>
      </w:pPr>
      <w:r w:rsidRPr="00FF5BEF">
        <w:rPr>
          <w:rFonts w:asciiTheme="minorHAnsi" w:hAnsiTheme="minorHAnsi" w:cstheme="minorHAnsi"/>
        </w:rPr>
        <w:t>ELECTION AND GOVERNANCE</w:t>
      </w:r>
      <w:r w:rsidRPr="00FF5BEF">
        <w:rPr>
          <w:rFonts w:asciiTheme="minorHAnsi" w:hAnsiTheme="minorHAnsi" w:cstheme="minorHAnsi"/>
          <w:u w:val="none"/>
        </w:rPr>
        <w:t xml:space="preserve"> </w:t>
      </w:r>
    </w:p>
    <w:p w14:paraId="02ADF85A" w14:textId="77777777" w:rsidR="006C0F5C" w:rsidRPr="00FF5BEF" w:rsidRDefault="00A026CA" w:rsidP="00FF5BEF">
      <w:pPr>
        <w:spacing w:after="18" w:line="276" w:lineRule="auto"/>
        <w:ind w:left="276" w:right="0" w:firstLine="0"/>
        <w:rPr>
          <w:rFonts w:asciiTheme="minorHAnsi" w:hAnsiTheme="minorHAnsi" w:cstheme="minorHAnsi"/>
        </w:rPr>
      </w:pPr>
      <w:r w:rsidRPr="00FF5BEF">
        <w:rPr>
          <w:rFonts w:asciiTheme="minorHAnsi" w:hAnsiTheme="minorHAnsi" w:cstheme="minorHAnsi"/>
          <w:b/>
        </w:rPr>
        <w:t xml:space="preserve"> </w:t>
      </w:r>
    </w:p>
    <w:p w14:paraId="7E217568" w14:textId="1090810A" w:rsidR="00EB4832" w:rsidRPr="0038482B" w:rsidRDefault="00EB4832" w:rsidP="0038482B">
      <w:pPr>
        <w:spacing w:after="0" w:line="276" w:lineRule="auto"/>
        <w:ind w:left="276" w:right="0" w:firstLine="0"/>
        <w:rPr>
          <w:rFonts w:asciiTheme="minorHAnsi" w:hAnsiTheme="minorHAnsi" w:cstheme="minorHAnsi"/>
          <w:color w:val="FFC000"/>
        </w:rPr>
      </w:pPr>
      <w:r w:rsidRPr="00FF5BEF">
        <w:rPr>
          <w:rFonts w:asciiTheme="minorHAnsi" w:hAnsiTheme="minorHAnsi" w:cstheme="minorHAnsi"/>
          <w:color w:val="FFC000"/>
        </w:rPr>
        <w:t>SÃO TOMÉ AND PRÍNCIPE HEADS INTO A CRUCIAL PRESIDENTIAL ELECTION</w:t>
      </w:r>
    </w:p>
    <w:p w14:paraId="379B0744" w14:textId="6E967856" w:rsidR="00EB4832" w:rsidRPr="00FF5BEF" w:rsidRDefault="00EB4832" w:rsidP="00FF5BEF">
      <w:pPr>
        <w:spacing w:after="0" w:line="276" w:lineRule="auto"/>
        <w:ind w:left="276" w:right="0" w:firstLine="0"/>
        <w:rPr>
          <w:rFonts w:asciiTheme="minorHAnsi" w:hAnsiTheme="minorHAnsi" w:cstheme="minorHAnsi"/>
        </w:rPr>
      </w:pPr>
      <w:r w:rsidRPr="00FF5BEF">
        <w:rPr>
          <w:rFonts w:asciiTheme="minorHAnsi" w:hAnsiTheme="minorHAnsi" w:cstheme="minorHAnsi"/>
        </w:rPr>
        <w:t>São Tomé and Príncipe is preparing for a crucial presidential election expected to shape the country's political future and democratic trajectory. Electoral authorities have intensified preparations while political parties continue campaigning ahead of the vote. The election is viewed as a key test of the country's democratic institutions, with domestic and international observers closely monitoring the process to ensure it remains peaceful, transparent, and credible.</w:t>
      </w:r>
      <w:r w:rsidR="0038482B" w:rsidRPr="0038482B">
        <w:t xml:space="preserve"> </w:t>
      </w:r>
      <w:r w:rsidR="0038482B" w:rsidRPr="0038482B">
        <w:rPr>
          <w:rFonts w:asciiTheme="minorHAnsi" w:hAnsiTheme="minorHAnsi" w:cstheme="minorHAnsi"/>
        </w:rPr>
        <w:t>The early warning implications of São Tomé and Príncipe's presidential election include the potential for political tensions, electoral disputes, and localized unrest if the process is perceived as lacking transparency or credibility. Strengthening election management, security coordination, and stakeholder dialogue will be essential to maintaining stability and preserving public confidence in the electoral process.</w:t>
      </w:r>
    </w:p>
    <w:p w14:paraId="31CBFF18" w14:textId="77777777" w:rsidR="00EB4832" w:rsidRPr="00FF5BEF" w:rsidRDefault="00EB4832" w:rsidP="00FF5BEF">
      <w:pPr>
        <w:spacing w:after="0" w:line="276" w:lineRule="auto"/>
        <w:ind w:left="276" w:right="0" w:firstLine="0"/>
        <w:rPr>
          <w:rFonts w:asciiTheme="minorHAnsi" w:hAnsiTheme="minorHAnsi" w:cstheme="minorHAnsi"/>
        </w:rPr>
      </w:pPr>
    </w:p>
    <w:p w14:paraId="55A9C9CD" w14:textId="4B121A87" w:rsidR="00EB4832" w:rsidRPr="0038482B" w:rsidRDefault="00EB4832" w:rsidP="0038482B">
      <w:pPr>
        <w:spacing w:after="0" w:line="276" w:lineRule="auto"/>
        <w:ind w:left="276" w:right="0" w:firstLine="0"/>
        <w:rPr>
          <w:rFonts w:asciiTheme="minorHAnsi" w:hAnsiTheme="minorHAnsi" w:cstheme="minorHAnsi"/>
          <w:color w:val="EE0000"/>
        </w:rPr>
      </w:pPr>
      <w:r w:rsidRPr="00FF5BEF">
        <w:rPr>
          <w:rFonts w:asciiTheme="minorHAnsi" w:hAnsiTheme="minorHAnsi" w:cstheme="minorHAnsi"/>
          <w:color w:val="EE0000"/>
        </w:rPr>
        <w:t>SUDAN ESCALATES LEGAL ACTION AGAINST THE UAE</w:t>
      </w:r>
    </w:p>
    <w:p w14:paraId="07D900DF" w14:textId="3295747F" w:rsidR="00EB4832" w:rsidRPr="00FF5BEF" w:rsidRDefault="00EB4832" w:rsidP="0038482B">
      <w:pPr>
        <w:spacing w:after="0" w:line="276" w:lineRule="auto"/>
        <w:ind w:left="276" w:right="0" w:firstLine="0"/>
        <w:rPr>
          <w:rFonts w:asciiTheme="minorHAnsi" w:hAnsiTheme="minorHAnsi" w:cstheme="minorHAnsi"/>
        </w:rPr>
      </w:pPr>
      <w:r w:rsidRPr="00FF5BEF">
        <w:rPr>
          <w:rFonts w:asciiTheme="minorHAnsi" w:hAnsiTheme="minorHAnsi" w:cstheme="minorHAnsi"/>
        </w:rPr>
        <w:t>Sudan has intensified its legal action against the United Arab Emirates (UAE), accusing it of supporting the Rapid Support Forces (RSF) in the ongoing conflict. Sudanese authorities argue that external support has contributed to the continuation of the war and worsening humanitarian conditions, while the UAE has consistently denied the allegations. The dispute has heightened diplomatic tensions as fighting in Sudan continues to displace civilians and deepen the country's humanitarian crisis.</w:t>
      </w:r>
      <w:r w:rsidR="0038482B" w:rsidRPr="0038482B">
        <w:rPr>
          <w:rFonts w:asciiTheme="minorHAnsi" w:hAnsiTheme="minorHAnsi" w:cstheme="minorHAnsi"/>
        </w:rPr>
        <w:t xml:space="preserve"> </w:t>
      </w:r>
      <w:r w:rsidR="0038482B" w:rsidRPr="00FF5BEF">
        <w:rPr>
          <w:rFonts w:asciiTheme="minorHAnsi" w:hAnsiTheme="minorHAnsi" w:cstheme="minorHAnsi"/>
        </w:rPr>
        <w:t>The early warning implications of Sudan's legal action against the UAE include the risk of heightened diplomatic tensions, reduced regional cooperation, and further polarization over the Sudan conflict. If the dispute escalates, it could complicate peace efforts, prolong the conflict, and worsen humanitarian conditions across Sudan and the wider region.</w:t>
      </w:r>
    </w:p>
    <w:p w14:paraId="31FA6FFB" w14:textId="77777777" w:rsidR="00EB4832" w:rsidRPr="00FF5BEF" w:rsidRDefault="00EB4832" w:rsidP="00FF5BEF">
      <w:pPr>
        <w:spacing w:after="0" w:line="276" w:lineRule="auto"/>
        <w:ind w:left="276" w:right="0" w:firstLine="0"/>
        <w:rPr>
          <w:rFonts w:asciiTheme="minorHAnsi" w:hAnsiTheme="minorHAnsi" w:cstheme="minorHAnsi"/>
        </w:rPr>
      </w:pPr>
    </w:p>
    <w:p w14:paraId="693D00E8" w14:textId="2AA30561" w:rsidR="00EB4832" w:rsidRPr="0038482B" w:rsidRDefault="00EB4832" w:rsidP="0038482B">
      <w:pPr>
        <w:spacing w:after="0" w:line="276" w:lineRule="auto"/>
        <w:ind w:left="276" w:right="0" w:firstLine="0"/>
        <w:rPr>
          <w:rFonts w:asciiTheme="minorHAnsi" w:hAnsiTheme="minorHAnsi" w:cstheme="minorHAnsi"/>
          <w:color w:val="FFC000"/>
        </w:rPr>
      </w:pPr>
      <w:r w:rsidRPr="00FF5BEF">
        <w:rPr>
          <w:rFonts w:asciiTheme="minorHAnsi" w:hAnsiTheme="minorHAnsi" w:cstheme="minorHAnsi"/>
          <w:color w:val="FFC000"/>
        </w:rPr>
        <w:t>NIGERIAN COURT OVERTURNS KEY ELECTORAL ACT PROVISIONS</w:t>
      </w:r>
    </w:p>
    <w:p w14:paraId="6458AE9A" w14:textId="77777777" w:rsidR="00EB4832" w:rsidRPr="00FF5BEF" w:rsidRDefault="00EB4832" w:rsidP="00FF5BEF">
      <w:pPr>
        <w:spacing w:after="0" w:line="276" w:lineRule="auto"/>
        <w:ind w:left="276" w:right="0" w:firstLine="0"/>
        <w:rPr>
          <w:rFonts w:asciiTheme="minorHAnsi" w:hAnsiTheme="minorHAnsi" w:cstheme="minorHAnsi"/>
        </w:rPr>
      </w:pPr>
      <w:r w:rsidRPr="00FF5BEF">
        <w:rPr>
          <w:rFonts w:asciiTheme="minorHAnsi" w:hAnsiTheme="minorHAnsi" w:cstheme="minorHAnsi"/>
        </w:rPr>
        <w:t>A Nigerian court has overturned key provisions of the Electoral Act, a ruling that could significantly affect the country's electoral and political landscape. The judgment has generated debate among political stakeholders, with supporters describing it as a constitutional clarification while critics warn it could influence future elections and electoral reforms. The decision is expected to shape discussions on electoral governance and the legal framework guiding Nigeria's democratic process.</w:t>
      </w:r>
    </w:p>
    <w:p w14:paraId="392F407C" w14:textId="77777777" w:rsidR="00EB4832" w:rsidRPr="00FF5BEF" w:rsidRDefault="00EB4832" w:rsidP="00FF5BEF">
      <w:pPr>
        <w:spacing w:after="0" w:line="276" w:lineRule="auto"/>
        <w:ind w:left="276" w:right="0" w:firstLine="0"/>
        <w:rPr>
          <w:rFonts w:asciiTheme="minorHAnsi" w:hAnsiTheme="minorHAnsi" w:cstheme="minorHAnsi"/>
        </w:rPr>
      </w:pPr>
    </w:p>
    <w:p w14:paraId="6D0C4547" w14:textId="64C99628" w:rsidR="00734CE8" w:rsidRPr="00FF5BEF" w:rsidRDefault="00EB4832" w:rsidP="00FF5BEF">
      <w:pPr>
        <w:spacing w:after="0" w:line="276" w:lineRule="auto"/>
        <w:ind w:left="276" w:right="0" w:firstLine="0"/>
        <w:rPr>
          <w:rFonts w:asciiTheme="minorHAnsi" w:hAnsiTheme="minorHAnsi" w:cstheme="minorHAnsi"/>
        </w:rPr>
      </w:pPr>
      <w:r w:rsidRPr="00FF5BEF">
        <w:rPr>
          <w:rFonts w:asciiTheme="minorHAnsi" w:hAnsiTheme="minorHAnsi" w:cstheme="minorHAnsi"/>
        </w:rPr>
        <w:lastRenderedPageBreak/>
        <w:t>The early warning implications of the court's ruling include the potential for legal disputes, political tensions, and uncertainty over future electoral processes. Transparent implementation of the judgment, stakeholder engagement, and timely legal clarification will be essential to maintaining public confidence and electoral stability.</w:t>
      </w:r>
    </w:p>
    <w:p w14:paraId="7B8E41D8" w14:textId="77777777" w:rsidR="00734CE8" w:rsidRPr="00FF5BEF" w:rsidRDefault="00734CE8" w:rsidP="00FF5BEF">
      <w:pPr>
        <w:spacing w:after="0" w:line="276" w:lineRule="auto"/>
        <w:ind w:left="276" w:right="0" w:firstLine="0"/>
        <w:rPr>
          <w:rFonts w:asciiTheme="minorHAnsi" w:hAnsiTheme="minorHAnsi" w:cstheme="minorHAnsi"/>
        </w:rPr>
      </w:pPr>
    </w:p>
    <w:p w14:paraId="7ED06ACC" w14:textId="77777777" w:rsidR="00654AC3" w:rsidRPr="00FF5BEF" w:rsidRDefault="00A026CA" w:rsidP="00FF5BEF">
      <w:pPr>
        <w:pStyle w:val="Heading1"/>
        <w:spacing w:line="276" w:lineRule="auto"/>
        <w:ind w:left="271"/>
        <w:jc w:val="both"/>
        <w:rPr>
          <w:rFonts w:asciiTheme="minorHAnsi" w:hAnsiTheme="minorHAnsi" w:cstheme="minorHAnsi"/>
          <w:u w:val="none"/>
        </w:rPr>
      </w:pPr>
      <w:r w:rsidRPr="00FF5BEF">
        <w:rPr>
          <w:rFonts w:asciiTheme="minorHAnsi" w:hAnsiTheme="minorHAnsi" w:cstheme="minorHAnsi"/>
        </w:rPr>
        <w:t>NATIONAL AND INTERNATIONAL SECURITY</w:t>
      </w:r>
      <w:r w:rsidRPr="00FF5BEF">
        <w:rPr>
          <w:rFonts w:asciiTheme="minorHAnsi" w:hAnsiTheme="minorHAnsi" w:cstheme="minorHAnsi"/>
          <w:u w:val="none"/>
        </w:rPr>
        <w:t xml:space="preserve"> </w:t>
      </w:r>
    </w:p>
    <w:p w14:paraId="7783D28C" w14:textId="77777777" w:rsidR="00654AC3" w:rsidRPr="00FF5BEF" w:rsidRDefault="00654AC3" w:rsidP="00FF5BEF">
      <w:pPr>
        <w:pStyle w:val="Heading1"/>
        <w:spacing w:line="276" w:lineRule="auto"/>
        <w:ind w:left="271"/>
        <w:jc w:val="both"/>
        <w:rPr>
          <w:rFonts w:asciiTheme="minorHAnsi" w:hAnsiTheme="minorHAnsi" w:cstheme="minorHAnsi"/>
          <w:u w:val="none"/>
        </w:rPr>
      </w:pPr>
    </w:p>
    <w:p w14:paraId="1D41BAE2" w14:textId="12B327DD" w:rsidR="00757A04" w:rsidRPr="0038482B" w:rsidRDefault="00757A04" w:rsidP="0038482B">
      <w:pPr>
        <w:spacing w:line="276" w:lineRule="auto"/>
        <w:rPr>
          <w:rFonts w:asciiTheme="minorHAnsi" w:hAnsiTheme="minorHAnsi" w:cstheme="minorHAnsi"/>
          <w:color w:val="FF0000"/>
        </w:rPr>
      </w:pPr>
      <w:r w:rsidRPr="0038482B">
        <w:rPr>
          <w:rFonts w:asciiTheme="minorHAnsi" w:hAnsiTheme="minorHAnsi" w:cstheme="minorHAnsi"/>
          <w:color w:val="FF0000"/>
        </w:rPr>
        <w:t>UN WARNING OVER EVOLVING TERROR ARSENAL IN WEST AFRICA AND THE SAHEL</w:t>
      </w:r>
    </w:p>
    <w:p w14:paraId="47B8336D" w14:textId="0099B983" w:rsidR="0038482B" w:rsidRPr="00FF5BEF" w:rsidRDefault="00757A04" w:rsidP="0038482B">
      <w:pPr>
        <w:spacing w:line="276" w:lineRule="auto"/>
        <w:rPr>
          <w:rFonts w:asciiTheme="minorHAnsi" w:hAnsiTheme="minorHAnsi" w:cstheme="minorHAnsi"/>
        </w:rPr>
      </w:pPr>
      <w:r w:rsidRPr="00FF5BEF">
        <w:rPr>
          <w:rFonts w:asciiTheme="minorHAnsi" w:hAnsiTheme="minorHAnsi" w:cstheme="minorHAnsi"/>
        </w:rPr>
        <w:t>The United Nations has warned that terrorist groups operating across West Africa and the Sahel are acquiring more sophisticated weapons and adapting their tactics, increasing the threat to regional security. The UN noted that extremist groups continue to exploit porous borders, weak governance, and local grievances to expand their operations. It called for stronger regional cooperation, intelligence sharing, and coordinated counterterrorism efforts to curb the growing threat.</w:t>
      </w:r>
      <w:r w:rsidR="0038482B" w:rsidRPr="0038482B">
        <w:rPr>
          <w:rFonts w:asciiTheme="minorHAnsi" w:hAnsiTheme="minorHAnsi" w:cstheme="minorHAnsi"/>
        </w:rPr>
        <w:t xml:space="preserve"> </w:t>
      </w:r>
      <w:r w:rsidR="0038482B" w:rsidRPr="00FF5BEF">
        <w:rPr>
          <w:rFonts w:asciiTheme="minorHAnsi" w:hAnsiTheme="minorHAnsi" w:cstheme="minorHAnsi"/>
        </w:rPr>
        <w:t>The early warning implications of the UN's warning include an increased risk of more frequent and deadly terrorist attacks, cross-border insecurity, and further expansion of extremist groups across the region. Strengthening border security, intelligence cooperation, and regional counterterrorism initiatives will be essential to preventing further deterioration in security.</w:t>
      </w:r>
    </w:p>
    <w:p w14:paraId="7DAB285F" w14:textId="77777777" w:rsidR="00757A04" w:rsidRPr="00FF5BEF" w:rsidRDefault="00757A04" w:rsidP="00FF5BEF">
      <w:pPr>
        <w:spacing w:line="276" w:lineRule="auto"/>
        <w:rPr>
          <w:rFonts w:asciiTheme="minorHAnsi" w:hAnsiTheme="minorHAnsi" w:cstheme="minorHAnsi"/>
        </w:rPr>
      </w:pPr>
    </w:p>
    <w:p w14:paraId="4F370FCB" w14:textId="0E65C4E0" w:rsidR="00FF5BEF" w:rsidRPr="00FF5BEF" w:rsidRDefault="00FF5BEF" w:rsidP="0038482B">
      <w:pPr>
        <w:spacing w:line="276" w:lineRule="auto"/>
        <w:ind w:left="0" w:firstLine="0"/>
        <w:rPr>
          <w:rFonts w:asciiTheme="minorHAnsi" w:hAnsiTheme="minorHAnsi" w:cstheme="minorHAnsi"/>
        </w:rPr>
      </w:pPr>
    </w:p>
    <w:p w14:paraId="07FF0EB8" w14:textId="0DB50A74" w:rsidR="00FF5BEF" w:rsidRPr="0038482B" w:rsidRDefault="0038482B" w:rsidP="00FF5BEF">
      <w:pPr>
        <w:spacing w:line="276" w:lineRule="auto"/>
        <w:rPr>
          <w:rFonts w:asciiTheme="minorHAnsi" w:hAnsiTheme="minorHAnsi" w:cstheme="minorHAnsi"/>
          <w:color w:val="FF0000"/>
        </w:rPr>
      </w:pPr>
      <w:r w:rsidRPr="0038482B">
        <w:rPr>
          <w:rFonts w:asciiTheme="minorHAnsi" w:hAnsiTheme="minorHAnsi" w:cstheme="minorHAnsi"/>
          <w:color w:val="FF0000"/>
        </w:rPr>
        <w:t xml:space="preserve">TROOPS FOIL KIDNAPPING OF 46 </w:t>
      </w:r>
      <w:proofErr w:type="spellStart"/>
      <w:r w:rsidRPr="0038482B">
        <w:rPr>
          <w:rFonts w:asciiTheme="minorHAnsi" w:hAnsiTheme="minorHAnsi" w:cstheme="minorHAnsi"/>
          <w:color w:val="FF0000"/>
        </w:rPr>
        <w:t>FGGC</w:t>
      </w:r>
      <w:proofErr w:type="spellEnd"/>
      <w:r w:rsidRPr="0038482B">
        <w:rPr>
          <w:rFonts w:asciiTheme="minorHAnsi" w:hAnsiTheme="minorHAnsi" w:cstheme="minorHAnsi"/>
          <w:color w:val="FF0000"/>
        </w:rPr>
        <w:t xml:space="preserve">, </w:t>
      </w:r>
      <w:proofErr w:type="spellStart"/>
      <w:r w:rsidRPr="0038482B">
        <w:rPr>
          <w:rFonts w:asciiTheme="minorHAnsi" w:hAnsiTheme="minorHAnsi" w:cstheme="minorHAnsi"/>
          <w:color w:val="FF0000"/>
        </w:rPr>
        <w:t>MONGUNO</w:t>
      </w:r>
      <w:proofErr w:type="spellEnd"/>
      <w:r w:rsidRPr="0038482B">
        <w:rPr>
          <w:rFonts w:asciiTheme="minorHAnsi" w:hAnsiTheme="minorHAnsi" w:cstheme="minorHAnsi"/>
          <w:color w:val="FF0000"/>
        </w:rPr>
        <w:t>, STUDENTS IN BORNO, STUDENTS KILLED</w:t>
      </w:r>
    </w:p>
    <w:p w14:paraId="04415882" w14:textId="11BB5E16" w:rsidR="00FF5BEF" w:rsidRPr="00FF5BEF" w:rsidRDefault="00FF5BEF" w:rsidP="0038482B">
      <w:pPr>
        <w:spacing w:line="276" w:lineRule="auto"/>
        <w:ind w:left="276" w:firstLine="0"/>
        <w:rPr>
          <w:rFonts w:asciiTheme="minorHAnsi" w:hAnsiTheme="minorHAnsi" w:cstheme="minorHAnsi"/>
        </w:rPr>
      </w:pPr>
      <w:r w:rsidRPr="00FF5BEF">
        <w:rPr>
          <w:rFonts w:asciiTheme="minorHAnsi" w:hAnsiTheme="minorHAnsi" w:cstheme="minorHAnsi"/>
        </w:rPr>
        <w:t xml:space="preserve">Troops of Operation </w:t>
      </w:r>
      <w:proofErr w:type="spellStart"/>
      <w:r w:rsidRPr="00FF5BEF">
        <w:rPr>
          <w:rFonts w:asciiTheme="minorHAnsi" w:hAnsiTheme="minorHAnsi" w:cstheme="minorHAnsi"/>
        </w:rPr>
        <w:t>Hadin</w:t>
      </w:r>
      <w:proofErr w:type="spellEnd"/>
      <w:r w:rsidRPr="00FF5BEF">
        <w:rPr>
          <w:rFonts w:asciiTheme="minorHAnsi" w:hAnsiTheme="minorHAnsi" w:cstheme="minorHAnsi"/>
        </w:rPr>
        <w:t xml:space="preserve"> Kai, supported by the Nigeria Police Mobile Force, successfully foiled an attempted mass abduction by ISWAP terrorists at the Federal Government Girls College, </w:t>
      </w:r>
      <w:proofErr w:type="spellStart"/>
      <w:r w:rsidRPr="00FF5BEF">
        <w:rPr>
          <w:rFonts w:asciiTheme="minorHAnsi" w:hAnsiTheme="minorHAnsi" w:cstheme="minorHAnsi"/>
        </w:rPr>
        <w:t>Monguno</w:t>
      </w:r>
      <w:proofErr w:type="spellEnd"/>
      <w:r w:rsidRPr="00FF5BEF">
        <w:rPr>
          <w:rFonts w:asciiTheme="minorHAnsi" w:hAnsiTheme="minorHAnsi" w:cstheme="minorHAnsi"/>
        </w:rPr>
        <w:t>, Borno State, rescuing all 46 students without any abductions. The attack, which occurred in the early hours of July 19, 2026, resulted in the deaths of some students who were struck by terrorists’ sporadic gunfire during the firefight, while parts of the school were damaged. Military authorities revealed that suspected collaborators facilitated the terrorists’ access to the facility, and efforts are underway to apprehend them. </w:t>
      </w:r>
      <w:r w:rsidR="0038482B" w:rsidRPr="00FF5BEF">
        <w:rPr>
          <w:rFonts w:asciiTheme="minorHAnsi" w:hAnsiTheme="minorHAnsi" w:cstheme="minorHAnsi"/>
        </w:rPr>
        <w:t>The incident highlights the persistent threat to educational institutions and the growing risk of insider collaboration with terrorist groups, underscoring the urgent need for enhanced school security, community intelligence, and rigorous screening of personnel around critical public facilities.</w:t>
      </w:r>
    </w:p>
    <w:p w14:paraId="59ED1A56" w14:textId="77777777" w:rsidR="00FF5BEF" w:rsidRPr="00FF5BEF" w:rsidRDefault="00FF5BEF" w:rsidP="00FF5BEF">
      <w:pPr>
        <w:spacing w:line="276" w:lineRule="auto"/>
        <w:rPr>
          <w:rFonts w:asciiTheme="minorHAnsi" w:hAnsiTheme="minorHAnsi" w:cstheme="minorHAnsi"/>
        </w:rPr>
      </w:pPr>
    </w:p>
    <w:p w14:paraId="78184E66" w14:textId="3392EF86" w:rsidR="00FF5BEF" w:rsidRPr="00B559D2" w:rsidRDefault="0038482B" w:rsidP="00FF5BEF">
      <w:pPr>
        <w:spacing w:line="276" w:lineRule="auto"/>
        <w:rPr>
          <w:rFonts w:asciiTheme="minorHAnsi" w:hAnsiTheme="minorHAnsi" w:cstheme="minorHAnsi"/>
          <w:color w:val="FF0000"/>
        </w:rPr>
      </w:pPr>
      <w:r w:rsidRPr="00B559D2">
        <w:rPr>
          <w:rFonts w:asciiTheme="minorHAnsi" w:hAnsiTheme="minorHAnsi" w:cstheme="minorHAnsi"/>
          <w:color w:val="FF0000"/>
        </w:rPr>
        <w:t>MILITARY ARRESTS ONE FOREIGN SPY, 13 TERRORISTS’ COLLABORATORS</w:t>
      </w:r>
    </w:p>
    <w:p w14:paraId="5784943E" w14:textId="77777777" w:rsidR="00FF5BEF" w:rsidRPr="00FF5BEF" w:rsidRDefault="00FF5BEF" w:rsidP="00FF5BEF">
      <w:pPr>
        <w:spacing w:line="276" w:lineRule="auto"/>
        <w:rPr>
          <w:rFonts w:asciiTheme="minorHAnsi" w:hAnsiTheme="minorHAnsi" w:cstheme="minorHAnsi"/>
        </w:rPr>
      </w:pPr>
      <w:r w:rsidRPr="00FF5BEF">
        <w:rPr>
          <w:rFonts w:asciiTheme="minorHAnsi" w:hAnsiTheme="minorHAnsi" w:cstheme="minorHAnsi"/>
        </w:rPr>
        <w:t xml:space="preserve">The Nigerian military arrested a suspected foreign spy from Niger Republic and 13 terrorist collaborators during nationwide operations, with most arrests made in the North-East by Operation </w:t>
      </w:r>
      <w:proofErr w:type="spellStart"/>
      <w:r w:rsidRPr="00FF5BEF">
        <w:rPr>
          <w:rFonts w:asciiTheme="minorHAnsi" w:hAnsiTheme="minorHAnsi" w:cstheme="minorHAnsi"/>
        </w:rPr>
        <w:t>Hadin</w:t>
      </w:r>
      <w:proofErr w:type="spellEnd"/>
      <w:r w:rsidRPr="00FF5BEF">
        <w:rPr>
          <w:rFonts w:asciiTheme="minorHAnsi" w:hAnsiTheme="minorHAnsi" w:cstheme="minorHAnsi"/>
        </w:rPr>
        <w:t xml:space="preserve"> Kai. Security forces also apprehended an ammunition courier in Nasarawa, suspected kidnappers and cultists in Rivers, and members of a proscribed secessionist group in </w:t>
      </w:r>
      <w:proofErr w:type="spellStart"/>
      <w:r w:rsidRPr="00FF5BEF">
        <w:rPr>
          <w:rFonts w:asciiTheme="minorHAnsi" w:hAnsiTheme="minorHAnsi" w:cstheme="minorHAnsi"/>
        </w:rPr>
        <w:t>Abia</w:t>
      </w:r>
      <w:proofErr w:type="spellEnd"/>
      <w:r w:rsidRPr="00FF5BEF">
        <w:rPr>
          <w:rFonts w:asciiTheme="minorHAnsi" w:hAnsiTheme="minorHAnsi" w:cstheme="minorHAnsi"/>
        </w:rPr>
        <w:t xml:space="preserve">, while recovering arms and ammunition. </w:t>
      </w:r>
      <w:r w:rsidRPr="00FF5BEF">
        <w:rPr>
          <w:rFonts w:asciiTheme="minorHAnsi" w:hAnsiTheme="minorHAnsi" w:cstheme="minorHAnsi"/>
        </w:rPr>
        <w:lastRenderedPageBreak/>
        <w:t xml:space="preserve">Additionally, 10 insurgents’ family members surrendered, seven terrorists were </w:t>
      </w:r>
      <w:proofErr w:type="spellStart"/>
      <w:r w:rsidRPr="00FF5BEF">
        <w:rPr>
          <w:rFonts w:asciiTheme="minorHAnsi" w:hAnsiTheme="minorHAnsi" w:cstheme="minorHAnsi"/>
        </w:rPr>
        <w:t>neutralised</w:t>
      </w:r>
      <w:proofErr w:type="spellEnd"/>
      <w:r w:rsidRPr="00FF5BEF">
        <w:rPr>
          <w:rFonts w:asciiTheme="minorHAnsi" w:hAnsiTheme="minorHAnsi" w:cstheme="minorHAnsi"/>
        </w:rPr>
        <w:t xml:space="preserve">, and 38 kidnapped victims were rescued. In Borno State, troops and police foiled an ISWAP attempt to abduct students from the Federal Government Girls College in </w:t>
      </w:r>
      <w:proofErr w:type="spellStart"/>
      <w:r w:rsidRPr="00FF5BEF">
        <w:rPr>
          <w:rFonts w:asciiTheme="minorHAnsi" w:hAnsiTheme="minorHAnsi" w:cstheme="minorHAnsi"/>
        </w:rPr>
        <w:t>Monguno</w:t>
      </w:r>
      <w:proofErr w:type="spellEnd"/>
      <w:r w:rsidRPr="00FF5BEF">
        <w:rPr>
          <w:rFonts w:asciiTheme="minorHAnsi" w:hAnsiTheme="minorHAnsi" w:cstheme="minorHAnsi"/>
        </w:rPr>
        <w:t>, rescuing 46 students, although some were killed during the attack.</w:t>
      </w:r>
    </w:p>
    <w:p w14:paraId="1437EBAA" w14:textId="77777777" w:rsidR="00FF5BEF" w:rsidRPr="00FF5BEF" w:rsidRDefault="00FF5BEF" w:rsidP="00FF5BEF">
      <w:pPr>
        <w:spacing w:line="276" w:lineRule="auto"/>
        <w:rPr>
          <w:rFonts w:asciiTheme="minorHAnsi" w:hAnsiTheme="minorHAnsi" w:cstheme="minorHAnsi"/>
        </w:rPr>
      </w:pPr>
    </w:p>
    <w:p w14:paraId="405883C4" w14:textId="77777777" w:rsidR="00FF5BEF" w:rsidRPr="00FF5BEF" w:rsidRDefault="00FF5BEF" w:rsidP="00FF5BEF">
      <w:pPr>
        <w:spacing w:line="276" w:lineRule="auto"/>
        <w:rPr>
          <w:rFonts w:asciiTheme="minorHAnsi" w:hAnsiTheme="minorHAnsi" w:cstheme="minorHAnsi"/>
        </w:rPr>
      </w:pPr>
      <w:r w:rsidRPr="00FF5BEF">
        <w:rPr>
          <w:rFonts w:asciiTheme="minorHAnsi" w:hAnsiTheme="minorHAnsi" w:cstheme="minorHAnsi"/>
        </w:rPr>
        <w:t>The arrest of a foreign spy and multiple collaborators underlines the persistence of transnational terrorist support networks and insider facilitation, stressing the need for strengthened border security, counter-intelligence, and community-based surveillance. The attempted school abduction demonstrates that educational institutions remain high-value terrorist targets, signaling the urgent need to reinforce the Safe Schools Initiative, improve intelligence-led protection, and intensify security around schools and other vulnerable public facilities.</w:t>
      </w:r>
    </w:p>
    <w:p w14:paraId="5A923656" w14:textId="77777777" w:rsidR="00FF5BEF" w:rsidRPr="00FF5BEF" w:rsidRDefault="00FF5BEF" w:rsidP="00B559D2">
      <w:pPr>
        <w:spacing w:line="276" w:lineRule="auto"/>
        <w:ind w:left="0" w:firstLine="0"/>
        <w:rPr>
          <w:rFonts w:asciiTheme="minorHAnsi" w:hAnsiTheme="minorHAnsi" w:cstheme="minorHAnsi"/>
        </w:rPr>
      </w:pPr>
    </w:p>
    <w:p w14:paraId="363B71DC" w14:textId="2FFE33C2" w:rsidR="00FF5BEF" w:rsidRPr="0036170A" w:rsidRDefault="0036170A" w:rsidP="00FF5BEF">
      <w:pPr>
        <w:spacing w:line="276" w:lineRule="auto"/>
        <w:rPr>
          <w:rFonts w:asciiTheme="minorHAnsi" w:hAnsiTheme="minorHAnsi" w:cstheme="minorHAnsi"/>
          <w:color w:val="FF0000"/>
        </w:rPr>
      </w:pPr>
      <w:r w:rsidRPr="0036170A">
        <w:rPr>
          <w:rFonts w:asciiTheme="minorHAnsi" w:hAnsiTheme="minorHAnsi" w:cstheme="minorHAnsi"/>
          <w:color w:val="FF0000"/>
        </w:rPr>
        <w:t>AT LEAST 50 MALIAN SOLDIERS KILLED IN REBEL-JIHADIST ATTACK</w:t>
      </w:r>
    </w:p>
    <w:p w14:paraId="218BDEFD" w14:textId="77777777" w:rsidR="00FF5BEF" w:rsidRPr="00FF5BEF" w:rsidRDefault="00FF5BEF" w:rsidP="00FF5BEF">
      <w:pPr>
        <w:spacing w:line="276" w:lineRule="auto"/>
        <w:rPr>
          <w:rFonts w:asciiTheme="minorHAnsi" w:hAnsiTheme="minorHAnsi" w:cstheme="minorHAnsi"/>
        </w:rPr>
      </w:pPr>
      <w:r w:rsidRPr="00FF5BEF">
        <w:rPr>
          <w:rFonts w:asciiTheme="minorHAnsi" w:hAnsiTheme="minorHAnsi" w:cstheme="minorHAnsi"/>
        </w:rPr>
        <w:t xml:space="preserve">At least 50 Malian soldiers were killed and 24 captured after a military convoy was ambushed while departing the strategic northern town of </w:t>
      </w:r>
      <w:proofErr w:type="spellStart"/>
      <w:r w:rsidRPr="00FF5BEF">
        <w:rPr>
          <w:rFonts w:asciiTheme="minorHAnsi" w:hAnsiTheme="minorHAnsi" w:cstheme="minorHAnsi"/>
        </w:rPr>
        <w:t>Anefis</w:t>
      </w:r>
      <w:proofErr w:type="spellEnd"/>
      <w:r w:rsidRPr="00FF5BEF">
        <w:rPr>
          <w:rFonts w:asciiTheme="minorHAnsi" w:hAnsiTheme="minorHAnsi" w:cstheme="minorHAnsi"/>
        </w:rPr>
        <w:t>. The attack was jointly claimed by the Tuareg separatist Front for the Liberation of Azawad (FLA) and the al-Qaeda-affiliated Group for the Support of Islam and Muslims (</w:t>
      </w:r>
      <w:proofErr w:type="spellStart"/>
      <w:r w:rsidRPr="00FF5BEF">
        <w:rPr>
          <w:rFonts w:asciiTheme="minorHAnsi" w:hAnsiTheme="minorHAnsi" w:cstheme="minorHAnsi"/>
        </w:rPr>
        <w:t>JNIM</w:t>
      </w:r>
      <w:proofErr w:type="spellEnd"/>
      <w:r w:rsidRPr="00FF5BEF">
        <w:rPr>
          <w:rFonts w:asciiTheme="minorHAnsi" w:hAnsiTheme="minorHAnsi" w:cstheme="minorHAnsi"/>
        </w:rPr>
        <w:t xml:space="preserve">). The assault followed weeks of intense fighting for control of </w:t>
      </w:r>
      <w:proofErr w:type="spellStart"/>
      <w:r w:rsidRPr="00FF5BEF">
        <w:rPr>
          <w:rFonts w:asciiTheme="minorHAnsi" w:hAnsiTheme="minorHAnsi" w:cstheme="minorHAnsi"/>
        </w:rPr>
        <w:t>Anefis</w:t>
      </w:r>
      <w:proofErr w:type="spellEnd"/>
      <w:r w:rsidRPr="00FF5BEF">
        <w:rPr>
          <w:rFonts w:asciiTheme="minorHAnsi" w:hAnsiTheme="minorHAnsi" w:cstheme="minorHAnsi"/>
        </w:rPr>
        <w:t>, where separatists had briefly seized the town and encircled a military base occupied by Malian forces and Russian Africa Corps personnel. Although the Russian paramilitaries escaped unharmed, the incident represents one of the deadliest attacks against Mali's military in recent years, exposing significant operational vulnerabilities.</w:t>
      </w:r>
    </w:p>
    <w:p w14:paraId="0DF65021" w14:textId="77777777" w:rsidR="00FF5BEF" w:rsidRPr="00FF5BEF" w:rsidRDefault="00FF5BEF" w:rsidP="00FF5BEF">
      <w:pPr>
        <w:spacing w:line="276" w:lineRule="auto"/>
        <w:rPr>
          <w:rFonts w:asciiTheme="minorHAnsi" w:hAnsiTheme="minorHAnsi" w:cstheme="minorHAnsi"/>
        </w:rPr>
      </w:pPr>
    </w:p>
    <w:p w14:paraId="3D6CA8A7" w14:textId="77777777" w:rsidR="00FF5BEF" w:rsidRPr="00FF5BEF" w:rsidRDefault="00FF5BEF" w:rsidP="00FF5BEF">
      <w:pPr>
        <w:spacing w:line="276" w:lineRule="auto"/>
        <w:rPr>
          <w:rFonts w:asciiTheme="minorHAnsi" w:hAnsiTheme="minorHAnsi" w:cstheme="minorHAnsi"/>
        </w:rPr>
      </w:pPr>
      <w:r w:rsidRPr="00FF5BEF">
        <w:rPr>
          <w:rFonts w:asciiTheme="minorHAnsi" w:hAnsiTheme="minorHAnsi" w:cstheme="minorHAnsi"/>
        </w:rPr>
        <w:t>The attack demonstrates growing operational coordination between separatist and jihadist groups, indicating an escalation in the insurgency that could further destabilise Mali and the wider Sahel. For Nigeria, the strengthening of al-Qaeda-linked networks and continued insecurity in Mali increase the risk of terrorist expansion, transnational arms trafficking, and cross-border militant collaboration, underscoring the need for enhanced intelligence sharing, border surveillance, and regional security cooperation.</w:t>
      </w:r>
    </w:p>
    <w:p w14:paraId="0C8EDE05" w14:textId="77777777" w:rsidR="00FF5BEF" w:rsidRPr="00FF5BEF" w:rsidRDefault="00FF5BEF" w:rsidP="00FF5BEF">
      <w:pPr>
        <w:spacing w:line="276" w:lineRule="auto"/>
        <w:rPr>
          <w:rFonts w:asciiTheme="minorHAnsi" w:hAnsiTheme="minorHAnsi" w:cstheme="minorHAnsi"/>
        </w:rPr>
      </w:pPr>
    </w:p>
    <w:p w14:paraId="5FE82701" w14:textId="16150494" w:rsidR="00FF5BEF" w:rsidRPr="00B559D2" w:rsidRDefault="0036170A" w:rsidP="00FF5BEF">
      <w:pPr>
        <w:spacing w:line="276" w:lineRule="auto"/>
        <w:rPr>
          <w:rFonts w:asciiTheme="minorHAnsi" w:hAnsiTheme="minorHAnsi" w:cstheme="minorHAnsi"/>
          <w:color w:val="FFC000"/>
        </w:rPr>
      </w:pPr>
      <w:r w:rsidRPr="00B559D2">
        <w:rPr>
          <w:rFonts w:asciiTheme="minorHAnsi" w:hAnsiTheme="minorHAnsi" w:cstheme="minorHAnsi"/>
          <w:color w:val="FFC000"/>
        </w:rPr>
        <w:t>U.N. SHRINKS FOOTPRINT IN CAR AMID FRAGILE SECURITY GAINS</w:t>
      </w:r>
    </w:p>
    <w:p w14:paraId="682D2C40" w14:textId="77777777" w:rsidR="00FF5BEF" w:rsidRPr="00FF5BEF" w:rsidRDefault="00FF5BEF" w:rsidP="00FF5BEF">
      <w:pPr>
        <w:spacing w:line="276" w:lineRule="auto"/>
        <w:rPr>
          <w:rFonts w:asciiTheme="minorHAnsi" w:hAnsiTheme="minorHAnsi" w:cstheme="minorHAnsi"/>
        </w:rPr>
      </w:pPr>
      <w:r w:rsidRPr="00FF5BEF">
        <w:rPr>
          <w:rFonts w:asciiTheme="minorHAnsi" w:hAnsiTheme="minorHAnsi" w:cstheme="minorHAnsi"/>
        </w:rPr>
        <w:t xml:space="preserve">The United Nations has begun transferring security responsibilities in the Central African Republic (CAR) to national authorities, handing over seven military bases as part of </w:t>
      </w:r>
      <w:proofErr w:type="spellStart"/>
      <w:r w:rsidRPr="00FF5BEF">
        <w:rPr>
          <w:rFonts w:asciiTheme="minorHAnsi" w:hAnsiTheme="minorHAnsi" w:cstheme="minorHAnsi"/>
        </w:rPr>
        <w:t>MINUSCA’s</w:t>
      </w:r>
      <w:proofErr w:type="spellEnd"/>
      <w:r w:rsidRPr="00FF5BEF">
        <w:rPr>
          <w:rFonts w:asciiTheme="minorHAnsi" w:hAnsiTheme="minorHAnsi" w:cstheme="minorHAnsi"/>
        </w:rPr>
        <w:t xml:space="preserve"> gradual reconfiguration after more than a decade of peacekeeping. Since its establishment in 2014, </w:t>
      </w:r>
      <w:proofErr w:type="spellStart"/>
      <w:r w:rsidRPr="00FF5BEF">
        <w:rPr>
          <w:rFonts w:asciiTheme="minorHAnsi" w:hAnsiTheme="minorHAnsi" w:cstheme="minorHAnsi"/>
        </w:rPr>
        <w:t>MINUSCA</w:t>
      </w:r>
      <w:proofErr w:type="spellEnd"/>
      <w:r w:rsidRPr="00FF5BEF">
        <w:rPr>
          <w:rFonts w:asciiTheme="minorHAnsi" w:hAnsiTheme="minorHAnsi" w:cstheme="minorHAnsi"/>
        </w:rPr>
        <w:t xml:space="preserve"> has supported peace implementation, disarmament, and civilian protection, contributing to the successful 2025 elections. Despite these gains, concerns remain over renewed rebel violence, cross-border threats from Sudan, and the capacity of the Central African Armed Forces to maintain security amid allegations of human rights abuses and links to Russian mercenaries. The </w:t>
      </w:r>
      <w:r w:rsidRPr="00FF5BEF">
        <w:rPr>
          <w:rFonts w:asciiTheme="minorHAnsi" w:hAnsiTheme="minorHAnsi" w:cstheme="minorHAnsi"/>
        </w:rPr>
        <w:lastRenderedPageBreak/>
        <w:t>UN maintains that it will continue supporting CAR through mobile patrols and rapid-response operations.</w:t>
      </w:r>
    </w:p>
    <w:p w14:paraId="280779C1" w14:textId="77777777" w:rsidR="00FF5BEF" w:rsidRPr="00FF5BEF" w:rsidRDefault="00FF5BEF" w:rsidP="00FF5BEF">
      <w:pPr>
        <w:spacing w:line="276" w:lineRule="auto"/>
        <w:rPr>
          <w:rFonts w:asciiTheme="minorHAnsi" w:hAnsiTheme="minorHAnsi" w:cstheme="minorHAnsi"/>
        </w:rPr>
      </w:pPr>
    </w:p>
    <w:p w14:paraId="41D6A72C" w14:textId="72AB9498" w:rsidR="00FF5BEF" w:rsidRPr="00FF5BEF" w:rsidRDefault="00FF5BEF" w:rsidP="00FF5BEF">
      <w:pPr>
        <w:spacing w:line="276" w:lineRule="auto"/>
        <w:rPr>
          <w:rFonts w:asciiTheme="minorHAnsi" w:hAnsiTheme="minorHAnsi" w:cstheme="minorHAnsi"/>
        </w:rPr>
      </w:pPr>
      <w:r w:rsidRPr="00FF5BEF">
        <w:rPr>
          <w:rFonts w:asciiTheme="minorHAnsi" w:hAnsiTheme="minorHAnsi" w:cstheme="minorHAnsi"/>
        </w:rPr>
        <w:t xml:space="preserve">The gradual transfer of security responsibilities from </w:t>
      </w:r>
      <w:proofErr w:type="spellStart"/>
      <w:r w:rsidRPr="00FF5BEF">
        <w:rPr>
          <w:rFonts w:asciiTheme="minorHAnsi" w:hAnsiTheme="minorHAnsi" w:cstheme="minorHAnsi"/>
        </w:rPr>
        <w:t>MINUSCA</w:t>
      </w:r>
      <w:proofErr w:type="spellEnd"/>
      <w:r w:rsidRPr="00FF5BEF">
        <w:rPr>
          <w:rFonts w:asciiTheme="minorHAnsi" w:hAnsiTheme="minorHAnsi" w:cstheme="minorHAnsi"/>
        </w:rPr>
        <w:t xml:space="preserve"> to national forces highlights the risk of a security vacuum if the Central African Armed Forces lack the capacity to effectively protect civilians. Any slip up from the CAR government can enable rebel groups and cross-border armed groups to regain territory and intensify violence. The resurgence of banditry, continued rebel activity, and spillover from Sudan's conflict also underline the need for strengthened state security institutions, and close monitoring of the transition to prevent renewed instability and displacement.</w:t>
      </w:r>
    </w:p>
    <w:p w14:paraId="3B707671" w14:textId="647CA431" w:rsidR="00FF5BEF" w:rsidRPr="00FF5BEF" w:rsidRDefault="00FF5BEF" w:rsidP="00FF5BEF">
      <w:pPr>
        <w:spacing w:line="276" w:lineRule="auto"/>
        <w:rPr>
          <w:rFonts w:asciiTheme="minorHAnsi" w:hAnsiTheme="minorHAnsi" w:cstheme="minorHAnsi"/>
        </w:rPr>
      </w:pPr>
    </w:p>
    <w:p w14:paraId="762F56C0" w14:textId="3617E733" w:rsidR="00FF5BEF" w:rsidRPr="0036170A" w:rsidRDefault="00FF5BEF" w:rsidP="0036170A">
      <w:pPr>
        <w:spacing w:line="276" w:lineRule="auto"/>
        <w:rPr>
          <w:rFonts w:asciiTheme="minorHAnsi" w:hAnsiTheme="minorHAnsi" w:cstheme="minorHAnsi"/>
          <w:color w:val="EE0000"/>
        </w:rPr>
      </w:pPr>
      <w:r w:rsidRPr="00FF5BEF">
        <w:rPr>
          <w:rFonts w:asciiTheme="minorHAnsi" w:hAnsiTheme="minorHAnsi" w:cstheme="minorHAnsi"/>
          <w:color w:val="EE0000"/>
        </w:rPr>
        <w:t>MARITIME PIRACY RESURGENCE: SECOND TANKER HIJACKED OFF YEMEN/SOMALIA</w:t>
      </w:r>
    </w:p>
    <w:p w14:paraId="417A5858" w14:textId="0D9C0927" w:rsidR="0036170A" w:rsidRPr="00FF5BEF" w:rsidRDefault="00FF5BEF" w:rsidP="0036170A">
      <w:pPr>
        <w:spacing w:line="276" w:lineRule="auto"/>
        <w:rPr>
          <w:rFonts w:asciiTheme="minorHAnsi" w:hAnsiTheme="minorHAnsi" w:cstheme="minorHAnsi"/>
        </w:rPr>
      </w:pPr>
      <w:r w:rsidRPr="00FF5BEF">
        <w:rPr>
          <w:rFonts w:asciiTheme="minorHAnsi" w:hAnsiTheme="minorHAnsi" w:cstheme="minorHAnsi"/>
        </w:rPr>
        <w:t>A second commercial tanker has been hijacked off the coasts of Yemen and Somalia, raising concerns over the resurgence of maritime piracy in one of the world's busiest shipping corridors. The incident highlights growing security challenges in the Gulf of Aden and the wider Horn of Africa, where piracy and regional instability continue to threaten international trade and maritime safety. Authorities and international naval forces are closely monitoring the situation while reinforcing efforts to protect commercial shipping.</w:t>
      </w:r>
      <w:r w:rsidR="0036170A" w:rsidRPr="0036170A">
        <w:rPr>
          <w:rFonts w:asciiTheme="minorHAnsi" w:hAnsiTheme="minorHAnsi" w:cstheme="minorHAnsi"/>
        </w:rPr>
        <w:t xml:space="preserve"> </w:t>
      </w:r>
      <w:r w:rsidR="0036170A" w:rsidRPr="00FF5BEF">
        <w:rPr>
          <w:rFonts w:asciiTheme="minorHAnsi" w:hAnsiTheme="minorHAnsi" w:cstheme="minorHAnsi"/>
        </w:rPr>
        <w:t>The early warning implications of the resurgence of maritime piracy off Yemen and Somalia include an increased risk of attacks on commercial vessels, disruption of global shipping routes, and higher transportation and insurance costs. Strengthened naval patrols, regional maritime cooperation, and improved intelligence sharing will be essential to safeguarding maritime security and preventing further pirate attacks.</w:t>
      </w:r>
    </w:p>
    <w:p w14:paraId="62D81674" w14:textId="77777777" w:rsidR="00FF5BEF" w:rsidRPr="00FF5BEF" w:rsidRDefault="00FF5BEF" w:rsidP="0036170A">
      <w:pPr>
        <w:spacing w:line="276" w:lineRule="auto"/>
        <w:ind w:left="0" w:firstLine="0"/>
        <w:rPr>
          <w:rFonts w:asciiTheme="minorHAnsi" w:hAnsiTheme="minorHAnsi" w:cstheme="minorHAnsi"/>
        </w:rPr>
      </w:pPr>
    </w:p>
    <w:p w14:paraId="16E24752" w14:textId="08F5428D" w:rsidR="00FF5BEF" w:rsidRPr="0036170A" w:rsidRDefault="0036170A" w:rsidP="00FF5BEF">
      <w:pPr>
        <w:spacing w:line="276" w:lineRule="auto"/>
        <w:rPr>
          <w:rFonts w:asciiTheme="minorHAnsi" w:hAnsiTheme="minorHAnsi" w:cstheme="minorHAnsi"/>
          <w:color w:val="00B050"/>
        </w:rPr>
      </w:pPr>
      <w:r w:rsidRPr="0036170A">
        <w:rPr>
          <w:rFonts w:asciiTheme="minorHAnsi" w:hAnsiTheme="minorHAnsi" w:cstheme="minorHAnsi"/>
          <w:color w:val="00B050"/>
        </w:rPr>
        <w:t>CHINESE DOMINANCE OF AFRICAN PORTS RAISES ALARMS</w:t>
      </w:r>
    </w:p>
    <w:p w14:paraId="01D6CCD7" w14:textId="77777777" w:rsidR="00FF5BEF" w:rsidRPr="00FF5BEF" w:rsidRDefault="00FF5BEF" w:rsidP="00FF5BEF">
      <w:pPr>
        <w:spacing w:line="276" w:lineRule="auto"/>
        <w:rPr>
          <w:rFonts w:asciiTheme="minorHAnsi" w:hAnsiTheme="minorHAnsi" w:cstheme="minorHAnsi"/>
        </w:rPr>
      </w:pPr>
      <w:r w:rsidRPr="00FF5BEF">
        <w:rPr>
          <w:rFonts w:asciiTheme="minorHAnsi" w:hAnsiTheme="minorHAnsi" w:cstheme="minorHAnsi"/>
        </w:rPr>
        <w:t>China has invested approximately $50 billion in African port infrastructure since 2013, financing or operating 78 ports across 32 countries under the Belt and Road Initiative, boosting trade through integrated rail and industrial projects. However, analysts warn that opaque financing, rising debt, and dependence on Chinese technology may undermine African sovereignty and create long-term financial burdens. Concerns have also grown over the potential dual military use of commercial ports, citing Djibouti as a precedent and identifying facilities in Nigeria, Namibia, Mozambique, and Seychelles as possible strategic assets. Additionally, illegal Chinese fishing and the promotion of Chinese governance models raise concerns over economic dependence, maritime security, and regional stability.</w:t>
      </w:r>
    </w:p>
    <w:p w14:paraId="287D027D" w14:textId="77777777" w:rsidR="00FF5BEF" w:rsidRPr="00FF5BEF" w:rsidRDefault="00FF5BEF" w:rsidP="00FF5BEF">
      <w:pPr>
        <w:spacing w:line="276" w:lineRule="auto"/>
        <w:rPr>
          <w:rFonts w:asciiTheme="minorHAnsi" w:hAnsiTheme="minorHAnsi" w:cstheme="minorHAnsi"/>
        </w:rPr>
      </w:pPr>
    </w:p>
    <w:p w14:paraId="5ED53998" w14:textId="77777777" w:rsidR="00FF5BEF" w:rsidRPr="00FF5BEF" w:rsidRDefault="00FF5BEF" w:rsidP="00FF5BEF">
      <w:pPr>
        <w:spacing w:line="276" w:lineRule="auto"/>
        <w:rPr>
          <w:rFonts w:asciiTheme="minorHAnsi" w:hAnsiTheme="minorHAnsi" w:cstheme="minorHAnsi"/>
        </w:rPr>
      </w:pPr>
      <w:r w:rsidRPr="00FF5BEF">
        <w:rPr>
          <w:rFonts w:asciiTheme="minorHAnsi" w:hAnsiTheme="minorHAnsi" w:cstheme="minorHAnsi"/>
        </w:rPr>
        <w:t xml:space="preserve">China's expanding control over strategic African port infrastructure and the growing possibility of dual civilian-military use could intensify strategic rivalry, increase foreign intelligence activities, and external power projection in key maritime corridors, </w:t>
      </w:r>
      <w:r w:rsidRPr="00FF5BEF">
        <w:rPr>
          <w:rFonts w:asciiTheme="minorHAnsi" w:hAnsiTheme="minorHAnsi" w:cstheme="minorHAnsi"/>
        </w:rPr>
        <w:lastRenderedPageBreak/>
        <w:t>including the Gulf of Guinea. For Nigeria, this development reveals the need for enhanced oversight of foreign investments in critical infrastructure. Stronger maritime security, and greater transparency in port concession agreements are also very important to safeguard national sovereignty and economic security.</w:t>
      </w:r>
    </w:p>
    <w:p w14:paraId="350F784D" w14:textId="77777777" w:rsidR="00FF5BEF" w:rsidRPr="00FF5BEF" w:rsidRDefault="00FF5BEF" w:rsidP="00FF5BEF">
      <w:pPr>
        <w:spacing w:line="276" w:lineRule="auto"/>
        <w:rPr>
          <w:rFonts w:asciiTheme="minorHAnsi" w:hAnsiTheme="minorHAnsi" w:cstheme="minorHAnsi"/>
          <w:b/>
        </w:rPr>
      </w:pPr>
    </w:p>
    <w:p w14:paraId="2D86F405" w14:textId="5511D0BD" w:rsidR="00FF5BEF" w:rsidRPr="0036170A" w:rsidRDefault="0036170A" w:rsidP="00FF5BEF">
      <w:pPr>
        <w:spacing w:line="276" w:lineRule="auto"/>
        <w:rPr>
          <w:rFonts w:asciiTheme="minorHAnsi" w:hAnsiTheme="minorHAnsi" w:cstheme="minorHAnsi"/>
          <w:color w:val="00B050"/>
        </w:rPr>
      </w:pPr>
      <w:r w:rsidRPr="0036170A">
        <w:rPr>
          <w:rFonts w:asciiTheme="minorHAnsi" w:hAnsiTheme="minorHAnsi" w:cstheme="minorHAnsi"/>
          <w:color w:val="00B050"/>
        </w:rPr>
        <w:t>US READY TO LET SAUDI ARABIA ENRICH URANIUM</w:t>
      </w:r>
    </w:p>
    <w:p w14:paraId="4B811522" w14:textId="788E3167" w:rsidR="00FF5BEF" w:rsidRPr="00FF5BEF" w:rsidRDefault="00FF5BEF" w:rsidP="0036170A">
      <w:pPr>
        <w:spacing w:line="276" w:lineRule="auto"/>
        <w:rPr>
          <w:rFonts w:asciiTheme="minorHAnsi" w:hAnsiTheme="minorHAnsi" w:cstheme="minorHAnsi"/>
        </w:rPr>
      </w:pPr>
      <w:r w:rsidRPr="00FF5BEF">
        <w:rPr>
          <w:rFonts w:asciiTheme="minorHAnsi" w:hAnsiTheme="minorHAnsi" w:cstheme="minorHAnsi"/>
        </w:rPr>
        <w:t xml:space="preserve">The United States has reportedly negotiated a draft agreement allowing Saudi Arabia to develop a civilian nuclear </w:t>
      </w:r>
      <w:proofErr w:type="spellStart"/>
      <w:r w:rsidRPr="00FF5BEF">
        <w:rPr>
          <w:rFonts w:asciiTheme="minorHAnsi" w:hAnsiTheme="minorHAnsi" w:cstheme="minorHAnsi"/>
        </w:rPr>
        <w:t>programme</w:t>
      </w:r>
      <w:proofErr w:type="spellEnd"/>
      <w:r w:rsidRPr="00FF5BEF">
        <w:rPr>
          <w:rFonts w:asciiTheme="minorHAnsi" w:hAnsiTheme="minorHAnsi" w:cstheme="minorHAnsi"/>
        </w:rPr>
        <w:t xml:space="preserve"> and enrich uranium, with the deal awaiting President Donald Trump’s approval. Unlike previous U.S. nuclear cooperation agreements, it would not require Saudi Arabia to adopt the International Atomic Energy Agency’s Additional Protocol, which provides enhanced inspection powers. The agreement would grant Riyadh access to uranium-enrichment technology similar to that used by Iran, marking a significant shift from Washington’s traditional non-proliferation policy. While Saudi Arabia maintains the </w:t>
      </w:r>
      <w:proofErr w:type="spellStart"/>
      <w:r w:rsidRPr="00FF5BEF">
        <w:rPr>
          <w:rFonts w:asciiTheme="minorHAnsi" w:hAnsiTheme="minorHAnsi" w:cstheme="minorHAnsi"/>
        </w:rPr>
        <w:t>programme</w:t>
      </w:r>
      <w:proofErr w:type="spellEnd"/>
      <w:r w:rsidRPr="00FF5BEF">
        <w:rPr>
          <w:rFonts w:asciiTheme="minorHAnsi" w:hAnsiTheme="minorHAnsi" w:cstheme="minorHAnsi"/>
        </w:rPr>
        <w:t xml:space="preserve"> is for peaceful energy and industrial purposes, arms-control experts warn the deal could weaken regional non-proliferation standards and encourage nuclear proliferation across the Middle East.</w:t>
      </w:r>
      <w:r w:rsidR="0036170A" w:rsidRPr="0036170A">
        <w:rPr>
          <w:rFonts w:asciiTheme="minorHAnsi" w:hAnsiTheme="minorHAnsi" w:cstheme="minorHAnsi"/>
        </w:rPr>
        <w:t xml:space="preserve"> </w:t>
      </w:r>
      <w:r w:rsidR="0036170A" w:rsidRPr="00FF5BEF">
        <w:rPr>
          <w:rFonts w:asciiTheme="minorHAnsi" w:hAnsiTheme="minorHAnsi" w:cstheme="minorHAnsi"/>
        </w:rPr>
        <w:t>The proposed U.S.-Saudi nuclear agreement could accelerate a regional nuclear arms competition by encouraging other Middle Eastern states to pursue uranium enrichment capabilities, thereby increasing proliferation risks and undermining existing non-proliferation norms.</w:t>
      </w:r>
    </w:p>
    <w:p w14:paraId="3214A64C" w14:textId="77777777" w:rsidR="00FF5BEF" w:rsidRPr="00FF5BEF" w:rsidRDefault="00FF5BEF" w:rsidP="00FF5BEF">
      <w:pPr>
        <w:spacing w:line="276" w:lineRule="auto"/>
        <w:rPr>
          <w:rFonts w:asciiTheme="minorHAnsi" w:hAnsiTheme="minorHAnsi" w:cstheme="minorHAnsi"/>
        </w:rPr>
      </w:pPr>
    </w:p>
    <w:p w14:paraId="5D3C8F7E" w14:textId="71C1AEF4" w:rsidR="00FF5BEF" w:rsidRPr="0036170A" w:rsidRDefault="0036170A" w:rsidP="00FF5BEF">
      <w:pPr>
        <w:spacing w:line="276" w:lineRule="auto"/>
        <w:rPr>
          <w:rFonts w:asciiTheme="minorHAnsi" w:hAnsiTheme="minorHAnsi" w:cstheme="minorHAnsi"/>
          <w:color w:val="FFC000"/>
        </w:rPr>
      </w:pPr>
      <w:r w:rsidRPr="0036170A">
        <w:rPr>
          <w:rFonts w:asciiTheme="minorHAnsi" w:hAnsiTheme="minorHAnsi" w:cstheme="minorHAnsi"/>
          <w:color w:val="FFC000"/>
        </w:rPr>
        <w:t>IRAN WARNS ‘ENTIRE REGION WILL PAY THE PRICE’ AS US BOMBS BRIDGES</w:t>
      </w:r>
    </w:p>
    <w:p w14:paraId="713E8EF4" w14:textId="4B884B27" w:rsidR="00FF5BEF" w:rsidRPr="00FF5BEF" w:rsidRDefault="00116AC2" w:rsidP="00FF5BEF">
      <w:pPr>
        <w:spacing w:line="276" w:lineRule="auto"/>
        <w:rPr>
          <w:rFonts w:asciiTheme="minorHAnsi" w:hAnsiTheme="minorHAnsi" w:cstheme="minorHAnsi"/>
        </w:rPr>
      </w:pPr>
      <w:r>
        <w:rPr>
          <w:rFonts w:asciiTheme="minorHAnsi" w:hAnsiTheme="minorHAnsi" w:cstheme="minorHAnsi"/>
        </w:rPr>
        <w:t>T</w:t>
      </w:r>
      <w:r w:rsidR="00FF5BEF" w:rsidRPr="00FF5BEF">
        <w:rPr>
          <w:rFonts w:asciiTheme="minorHAnsi" w:hAnsiTheme="minorHAnsi" w:cstheme="minorHAnsi"/>
        </w:rPr>
        <w:t xml:space="preserve">he United States continues consecutive airstrikes on Iran, reportedly targeting bridges, an airport, and other civilian infrastructure in </w:t>
      </w:r>
      <w:proofErr w:type="spellStart"/>
      <w:r w:rsidR="00FF5BEF" w:rsidRPr="00FF5BEF">
        <w:rPr>
          <w:rFonts w:asciiTheme="minorHAnsi" w:hAnsiTheme="minorHAnsi" w:cstheme="minorHAnsi"/>
        </w:rPr>
        <w:t>Hormozgan</w:t>
      </w:r>
      <w:proofErr w:type="spellEnd"/>
      <w:r w:rsidR="00FF5BEF" w:rsidRPr="00FF5BEF">
        <w:rPr>
          <w:rFonts w:asciiTheme="minorHAnsi" w:hAnsiTheme="minorHAnsi" w:cstheme="minorHAnsi"/>
        </w:rPr>
        <w:t xml:space="preserve"> Province, resulting in civilian casualties and significant damage. The strikes followed President Donald Trump’s threat to expand attacks on Iran’s critical infrastructure. In response, Iran warned that continued escalation would trigger a wider regional conflict and intensified retaliatory operations. The Islamic Revolutionary Guard Corps has already launched missile and drone attacks on U.S. military facilities in the Gulf and threatened to block oil and gas exports through the Strait of Hormuz, further increasing tensions and risks to regional stability and global energy supplies.</w:t>
      </w:r>
    </w:p>
    <w:p w14:paraId="014AFE06" w14:textId="77777777" w:rsidR="00757A04" w:rsidRPr="00FF5BEF" w:rsidRDefault="00757A04" w:rsidP="0036170A">
      <w:pPr>
        <w:spacing w:line="276" w:lineRule="auto"/>
        <w:ind w:left="0" w:firstLine="0"/>
        <w:rPr>
          <w:rFonts w:asciiTheme="minorHAnsi" w:hAnsiTheme="minorHAnsi" w:cstheme="minorHAnsi"/>
        </w:rPr>
      </w:pPr>
    </w:p>
    <w:p w14:paraId="57F1B92B" w14:textId="2E61AAAC" w:rsidR="00757A04" w:rsidRPr="0036170A" w:rsidRDefault="00757A04" w:rsidP="0036170A">
      <w:pPr>
        <w:spacing w:line="276" w:lineRule="auto"/>
        <w:rPr>
          <w:rFonts w:asciiTheme="minorHAnsi" w:hAnsiTheme="minorHAnsi" w:cstheme="minorHAnsi"/>
          <w:color w:val="EE0000"/>
        </w:rPr>
      </w:pPr>
      <w:r w:rsidRPr="00FF5BEF">
        <w:rPr>
          <w:rFonts w:asciiTheme="minorHAnsi" w:hAnsiTheme="minorHAnsi" w:cstheme="minorHAnsi"/>
          <w:color w:val="EE0000"/>
        </w:rPr>
        <w:t>G7 AND EU ISSUE URGENT HOSTILITY CEASE ORDER FOR SUDAN</w:t>
      </w:r>
    </w:p>
    <w:p w14:paraId="6F598810" w14:textId="77777777" w:rsidR="00757A04" w:rsidRPr="00FF5BEF" w:rsidRDefault="00757A04" w:rsidP="00FF5BEF">
      <w:pPr>
        <w:spacing w:line="276" w:lineRule="auto"/>
        <w:rPr>
          <w:rFonts w:asciiTheme="minorHAnsi" w:hAnsiTheme="minorHAnsi" w:cstheme="minorHAnsi"/>
        </w:rPr>
      </w:pPr>
      <w:r w:rsidRPr="00FF5BEF">
        <w:rPr>
          <w:rFonts w:asciiTheme="minorHAnsi" w:hAnsiTheme="minorHAnsi" w:cstheme="minorHAnsi"/>
        </w:rPr>
        <w:t>The G7 and the European Union have jointly called for an immediate cessation of hostilities in Sudan, expressing deep concern over the worsening humanitarian crisis and continued violence between the Sudanese Armed Forces (SAF) and the Rapid Support Forces (RSF). The statement urged all parties to protect civilians, allow unrestricted humanitarian access, and return to dialogue to achieve a sustainable political solution. The international partners also reaffirmed their support for regional and diplomatic efforts aimed at ending the conflict.</w:t>
      </w:r>
    </w:p>
    <w:p w14:paraId="58C5C373" w14:textId="77777777" w:rsidR="00757A04" w:rsidRPr="00FF5BEF" w:rsidRDefault="00757A04" w:rsidP="00FF5BEF">
      <w:pPr>
        <w:spacing w:line="276" w:lineRule="auto"/>
        <w:rPr>
          <w:rFonts w:asciiTheme="minorHAnsi" w:hAnsiTheme="minorHAnsi" w:cstheme="minorHAnsi"/>
        </w:rPr>
      </w:pPr>
    </w:p>
    <w:p w14:paraId="14C2F696" w14:textId="72C51BEB" w:rsidR="00757A04" w:rsidRDefault="00757A04" w:rsidP="00FF5BEF">
      <w:pPr>
        <w:spacing w:line="276" w:lineRule="auto"/>
        <w:rPr>
          <w:rFonts w:asciiTheme="minorHAnsi" w:hAnsiTheme="minorHAnsi" w:cstheme="minorHAnsi"/>
        </w:rPr>
      </w:pPr>
      <w:r w:rsidRPr="00FF5BEF">
        <w:rPr>
          <w:rFonts w:asciiTheme="minorHAnsi" w:hAnsiTheme="minorHAnsi" w:cstheme="minorHAnsi"/>
        </w:rPr>
        <w:lastRenderedPageBreak/>
        <w:t>The early warning implications of the G7 and EU's call for an immediate ceasefire include the risk of further humanitarian deterioration, civilian casualties, and regional instability if hostilities continue. Sustained diplomatic engagement, humanitarian access, and adherence to ceasefire commitments will be essential to preventing further escalation and supporting peace efforts in Sudan.</w:t>
      </w:r>
    </w:p>
    <w:p w14:paraId="0ECCEFA6" w14:textId="67126EB9" w:rsidR="0038482B" w:rsidRDefault="0038482B" w:rsidP="00FF5BEF">
      <w:pPr>
        <w:spacing w:line="276" w:lineRule="auto"/>
        <w:rPr>
          <w:rFonts w:asciiTheme="minorHAnsi" w:hAnsiTheme="minorHAnsi" w:cstheme="minorHAnsi"/>
        </w:rPr>
      </w:pPr>
    </w:p>
    <w:p w14:paraId="492E8A9F" w14:textId="1988C051" w:rsidR="0038482B" w:rsidRDefault="0038482B" w:rsidP="00FF5BEF">
      <w:pPr>
        <w:spacing w:line="276" w:lineRule="auto"/>
        <w:rPr>
          <w:rFonts w:asciiTheme="minorHAnsi" w:hAnsiTheme="minorHAnsi" w:cstheme="minorHAnsi"/>
        </w:rPr>
      </w:pPr>
    </w:p>
    <w:p w14:paraId="694DDD17" w14:textId="77777777" w:rsidR="0038482B" w:rsidRPr="00FF5BEF" w:rsidRDefault="0038482B" w:rsidP="0038482B">
      <w:pPr>
        <w:pStyle w:val="Heading1"/>
        <w:spacing w:after="299" w:line="276" w:lineRule="auto"/>
        <w:ind w:left="271"/>
        <w:rPr>
          <w:rFonts w:asciiTheme="minorHAnsi" w:hAnsiTheme="minorHAnsi" w:cstheme="minorHAnsi"/>
        </w:rPr>
      </w:pPr>
      <w:r w:rsidRPr="00FF5BEF">
        <w:rPr>
          <w:rFonts w:asciiTheme="minorHAnsi" w:hAnsiTheme="minorHAnsi" w:cstheme="minorHAnsi"/>
        </w:rPr>
        <w:t>CLIMATE CHANGE AND ENVIRONMENT</w:t>
      </w:r>
      <w:r w:rsidRPr="00FF5BEF">
        <w:rPr>
          <w:rFonts w:asciiTheme="minorHAnsi" w:hAnsiTheme="minorHAnsi" w:cstheme="minorHAnsi"/>
          <w:u w:val="none"/>
        </w:rPr>
        <w:t xml:space="preserve"> </w:t>
      </w:r>
    </w:p>
    <w:p w14:paraId="6CA12226" w14:textId="73DD4ED7" w:rsidR="0038482B" w:rsidRPr="00FF5BEF" w:rsidRDefault="0038482B" w:rsidP="0036170A">
      <w:pPr>
        <w:spacing w:after="16" w:line="276" w:lineRule="auto"/>
        <w:ind w:left="276" w:right="0" w:firstLine="0"/>
        <w:jc w:val="left"/>
        <w:rPr>
          <w:rFonts w:asciiTheme="minorHAnsi" w:hAnsiTheme="minorHAnsi" w:cstheme="minorHAnsi"/>
          <w:color w:val="EE0000"/>
        </w:rPr>
      </w:pPr>
      <w:r w:rsidRPr="00FF5BEF">
        <w:rPr>
          <w:rFonts w:asciiTheme="minorHAnsi" w:hAnsiTheme="minorHAnsi" w:cstheme="minorHAnsi"/>
          <w:color w:val="EE0000"/>
        </w:rPr>
        <w:t>CLIMATE CHANGE FOUND TO HAVE INTENSIFIED DEADLY WEST AFRICAN FLOODS</w:t>
      </w:r>
    </w:p>
    <w:p w14:paraId="7CA7EDBC" w14:textId="77777777" w:rsidR="0038482B" w:rsidRPr="00FF5BEF" w:rsidRDefault="0038482B" w:rsidP="0038482B">
      <w:pPr>
        <w:spacing w:after="16" w:line="276" w:lineRule="auto"/>
        <w:ind w:left="276" w:right="0" w:firstLine="0"/>
        <w:rPr>
          <w:rFonts w:asciiTheme="minorHAnsi" w:hAnsiTheme="minorHAnsi" w:cstheme="minorHAnsi"/>
        </w:rPr>
      </w:pPr>
      <w:r w:rsidRPr="00FF5BEF">
        <w:rPr>
          <w:rFonts w:asciiTheme="minorHAnsi" w:hAnsiTheme="minorHAnsi" w:cstheme="minorHAnsi"/>
        </w:rPr>
        <w:t>A new attribution study released this week by the World Weather Attribution (</w:t>
      </w:r>
      <w:proofErr w:type="spellStart"/>
      <w:r w:rsidRPr="00FF5BEF">
        <w:rPr>
          <w:rFonts w:asciiTheme="minorHAnsi" w:hAnsiTheme="minorHAnsi" w:cstheme="minorHAnsi"/>
        </w:rPr>
        <w:t>WWA</w:t>
      </w:r>
      <w:proofErr w:type="spellEnd"/>
      <w:r w:rsidRPr="00FF5BEF">
        <w:rPr>
          <w:rFonts w:asciiTheme="minorHAnsi" w:hAnsiTheme="minorHAnsi" w:cstheme="minorHAnsi"/>
        </w:rPr>
        <w:t xml:space="preserve">) and widely reported by international media concluded that the devastating floods that struck Côte d’Ivoire, Ghana, Togo, and Nigeria in June were significantly intensified by human-induced climate change. Scientists found that the extreme rainfall event, which displaced thousands and claimed dozens of lives, was made five times more likely because of global warming, with rainfall intensity increasing by about 23% compared to a pre-industrial climate. The study warns that similar flood events are expected to occur more frequently as global temperatures continue to rise.  </w:t>
      </w:r>
    </w:p>
    <w:p w14:paraId="51582EB8" w14:textId="77777777" w:rsidR="0038482B" w:rsidRPr="00FF5BEF" w:rsidRDefault="0038482B" w:rsidP="0038482B">
      <w:pPr>
        <w:spacing w:after="16" w:line="276" w:lineRule="auto"/>
        <w:ind w:left="276" w:right="0" w:firstLine="0"/>
        <w:rPr>
          <w:rFonts w:asciiTheme="minorHAnsi" w:hAnsiTheme="minorHAnsi" w:cstheme="minorHAnsi"/>
        </w:rPr>
      </w:pPr>
    </w:p>
    <w:p w14:paraId="4657BF7C" w14:textId="46B803AA" w:rsidR="0038482B" w:rsidRPr="00FF5BEF" w:rsidRDefault="0038482B" w:rsidP="00116AC2">
      <w:pPr>
        <w:spacing w:after="16" w:line="276" w:lineRule="auto"/>
        <w:ind w:left="276" w:right="0" w:firstLine="0"/>
        <w:rPr>
          <w:rFonts w:asciiTheme="minorHAnsi" w:hAnsiTheme="minorHAnsi" w:cstheme="minorHAnsi"/>
        </w:rPr>
      </w:pPr>
      <w:r w:rsidRPr="00FF5BEF">
        <w:rPr>
          <w:rFonts w:asciiTheme="minorHAnsi" w:hAnsiTheme="minorHAnsi" w:cstheme="minorHAnsi"/>
        </w:rPr>
        <w:t>The early warning implication is that West Africa is entering an era where extreme rainfall events are becoming more frequent and destructive. Countries with inadequate drainage systems, weak urban planning, and limited disaster preparedness remain highly vulnerable to recurring flood disasters. Without significant investment in climate adaptation, flood forecasting, and resilient infrastructure, future rainfall events could result in greater humanitarian losses, displacement, and economic disruption across the region.</w:t>
      </w:r>
    </w:p>
    <w:p w14:paraId="2F59C35A" w14:textId="77777777" w:rsidR="0038482B" w:rsidRPr="00FF5BEF" w:rsidRDefault="0038482B" w:rsidP="0038482B">
      <w:pPr>
        <w:spacing w:after="16" w:line="276" w:lineRule="auto"/>
        <w:ind w:left="276" w:right="0" w:firstLine="0"/>
        <w:rPr>
          <w:rFonts w:asciiTheme="minorHAnsi" w:hAnsiTheme="minorHAnsi" w:cstheme="minorHAnsi"/>
        </w:rPr>
      </w:pPr>
    </w:p>
    <w:p w14:paraId="494FB051" w14:textId="0C267D74" w:rsidR="0038482B" w:rsidRPr="0036170A" w:rsidRDefault="0038482B" w:rsidP="0036170A">
      <w:pPr>
        <w:spacing w:after="16" w:line="276" w:lineRule="auto"/>
        <w:ind w:left="276" w:right="0" w:firstLine="0"/>
        <w:rPr>
          <w:rFonts w:asciiTheme="minorHAnsi" w:hAnsiTheme="minorHAnsi" w:cstheme="minorHAnsi"/>
          <w:color w:val="EE0000"/>
        </w:rPr>
      </w:pPr>
      <w:r w:rsidRPr="00FF5BEF">
        <w:rPr>
          <w:rFonts w:asciiTheme="minorHAnsi" w:hAnsiTheme="minorHAnsi" w:cstheme="minorHAnsi"/>
          <w:color w:val="EE0000"/>
        </w:rPr>
        <w:t>WEST AND CENTRAL AFRICA ENTER PEAK FLOOD SEASON AMID FORECAST OF CONTINUED HEAVY RAINFALL</w:t>
      </w:r>
    </w:p>
    <w:p w14:paraId="112BE5B3" w14:textId="77777777" w:rsidR="0038482B" w:rsidRPr="00FF5BEF" w:rsidRDefault="0038482B" w:rsidP="0038482B">
      <w:pPr>
        <w:spacing w:after="16" w:line="276" w:lineRule="auto"/>
        <w:ind w:left="276" w:right="0" w:firstLine="0"/>
        <w:rPr>
          <w:rFonts w:asciiTheme="minorHAnsi" w:hAnsiTheme="minorHAnsi" w:cstheme="minorHAnsi"/>
        </w:rPr>
      </w:pPr>
      <w:r w:rsidRPr="00FF5BEF">
        <w:rPr>
          <w:rFonts w:asciiTheme="minorHAnsi" w:hAnsiTheme="minorHAnsi" w:cstheme="minorHAnsi"/>
        </w:rPr>
        <w:t xml:space="preserve">Humanitarian and meteorological agencies this week warned that above-average rainfall is expected to persist across parts of West and Central Africa, increasing the likelihood of flash floods and riverine flooding. The latest regional Flooding Outlook identifies several high-risk areas, including Nigeria, Niger, Chad, Cameroon, and sections of the central Sahel, where saturated soils and rising river levels are expected to heighten disaster risks. Authorities are urging governments to strengthen preparedness as the rainy season enters one of its most active phases.  </w:t>
      </w:r>
    </w:p>
    <w:p w14:paraId="5C17C86F" w14:textId="77777777" w:rsidR="0038482B" w:rsidRPr="00FF5BEF" w:rsidRDefault="0038482B" w:rsidP="0038482B">
      <w:pPr>
        <w:spacing w:after="16" w:line="276" w:lineRule="auto"/>
        <w:ind w:left="276" w:right="0" w:firstLine="0"/>
        <w:rPr>
          <w:rFonts w:asciiTheme="minorHAnsi" w:hAnsiTheme="minorHAnsi" w:cstheme="minorHAnsi"/>
        </w:rPr>
      </w:pPr>
    </w:p>
    <w:p w14:paraId="5EB266F1" w14:textId="462A4038" w:rsidR="0038482B" w:rsidRPr="00FF5BEF" w:rsidRDefault="0038482B" w:rsidP="00116AC2">
      <w:pPr>
        <w:spacing w:after="16" w:line="276" w:lineRule="auto"/>
        <w:ind w:left="276" w:right="0" w:firstLine="0"/>
        <w:rPr>
          <w:rFonts w:asciiTheme="minorHAnsi" w:hAnsiTheme="minorHAnsi" w:cstheme="minorHAnsi"/>
        </w:rPr>
      </w:pPr>
      <w:r w:rsidRPr="00FF5BEF">
        <w:rPr>
          <w:rFonts w:asciiTheme="minorHAnsi" w:hAnsiTheme="minorHAnsi" w:cstheme="minorHAnsi"/>
        </w:rPr>
        <w:t>The early warning implication is that flooding could rapidly evolve into a multi-dimensional humanitarian emergency. Besides destroying homes and transport infrastructure, floodwaters may contaminate drinking water, trigger outbreaks of cholera and other waterborne diseases, disrupt agricultural production, and further restrict humanitarian access in conflict-affected areas. Early evacuation planning, community-based warning systems, and pre-positioning of emergency supplies will be critical to reducing casualties and socio-economic losses.</w:t>
      </w:r>
    </w:p>
    <w:p w14:paraId="6F0E6406" w14:textId="3BA77B9F" w:rsidR="0038482B" w:rsidRPr="0036170A" w:rsidRDefault="0038482B" w:rsidP="0036170A">
      <w:pPr>
        <w:spacing w:after="16" w:line="276" w:lineRule="auto"/>
        <w:ind w:left="276" w:right="0" w:firstLine="0"/>
        <w:rPr>
          <w:rFonts w:asciiTheme="minorHAnsi" w:hAnsiTheme="minorHAnsi" w:cstheme="minorHAnsi"/>
          <w:color w:val="EE0000"/>
        </w:rPr>
      </w:pPr>
      <w:r w:rsidRPr="00FF5BEF">
        <w:rPr>
          <w:rFonts w:asciiTheme="minorHAnsi" w:hAnsiTheme="minorHAnsi" w:cstheme="minorHAnsi"/>
          <w:color w:val="EE0000"/>
        </w:rPr>
        <w:lastRenderedPageBreak/>
        <w:t>HUMANITARIAN RISKS ESCALATE ACROSS THE SAHEL AS CLIMATE AND CONFLICT CONVERGE</w:t>
      </w:r>
    </w:p>
    <w:p w14:paraId="16203AAF" w14:textId="77777777" w:rsidR="0038482B" w:rsidRPr="00FF5BEF" w:rsidRDefault="0038482B" w:rsidP="0038482B">
      <w:pPr>
        <w:spacing w:after="16" w:line="276" w:lineRule="auto"/>
        <w:ind w:left="276" w:right="0" w:firstLine="0"/>
        <w:rPr>
          <w:rFonts w:asciiTheme="minorHAnsi" w:hAnsiTheme="minorHAnsi" w:cstheme="minorHAnsi"/>
        </w:rPr>
      </w:pPr>
      <w:r w:rsidRPr="00FF5BEF">
        <w:rPr>
          <w:rFonts w:asciiTheme="minorHAnsi" w:hAnsiTheme="minorHAnsi" w:cstheme="minorHAnsi"/>
        </w:rPr>
        <w:t xml:space="preserve">Humanitarian agencies continue to warn that the Sahel is facing a worsening convergence of climate shocks and insecurity as seasonal rains coincide with ongoing armed conflict, displacement, and severe food insecurity. Millions of people across Burkina Faso, Mali, Niger, Chad, and northern Nigeria remain in urgent need of humanitarian assistance, while heavy rainfall is expected to complicate aid delivery by damaging roads and isolating vulnerable communities. Relief organizations have also cautioned that shrinking humanitarian funding is limiting their ability to respond effectively to growing needs.  </w:t>
      </w:r>
    </w:p>
    <w:p w14:paraId="6D7812D4" w14:textId="77777777" w:rsidR="0038482B" w:rsidRPr="00FF5BEF" w:rsidRDefault="0038482B" w:rsidP="0038482B">
      <w:pPr>
        <w:spacing w:after="16" w:line="276" w:lineRule="auto"/>
        <w:ind w:left="276" w:right="0" w:firstLine="0"/>
        <w:rPr>
          <w:rFonts w:asciiTheme="minorHAnsi" w:hAnsiTheme="minorHAnsi" w:cstheme="minorHAnsi"/>
        </w:rPr>
      </w:pPr>
    </w:p>
    <w:p w14:paraId="32774541" w14:textId="77777777" w:rsidR="0038482B" w:rsidRPr="00FF5BEF" w:rsidRDefault="0038482B" w:rsidP="0038482B">
      <w:pPr>
        <w:spacing w:after="16" w:line="276" w:lineRule="auto"/>
        <w:ind w:left="276" w:right="0" w:firstLine="0"/>
        <w:rPr>
          <w:rFonts w:asciiTheme="minorHAnsi" w:hAnsiTheme="minorHAnsi" w:cstheme="minorHAnsi"/>
        </w:rPr>
      </w:pPr>
      <w:r w:rsidRPr="00FF5BEF">
        <w:rPr>
          <w:rFonts w:asciiTheme="minorHAnsi" w:hAnsiTheme="minorHAnsi" w:cstheme="minorHAnsi"/>
        </w:rPr>
        <w:t>The early warning implication is that climate hazards are increasingly acting as threat multipliers across the Sahel. Flooding, disease outbreaks, displacement, and competition over shrinking resources could intensify existing communal tensions and armed violence. Unless humanitarian access improves and climate resilience measures are strengthened, the overlap of environmental and security pressures is likely to deepen regional instability and prolong the humanitarian crisis.</w:t>
      </w:r>
    </w:p>
    <w:p w14:paraId="2E46B300" w14:textId="77777777" w:rsidR="0038482B" w:rsidRPr="00FF5BEF" w:rsidRDefault="0038482B" w:rsidP="00FF5BEF">
      <w:pPr>
        <w:spacing w:line="276" w:lineRule="auto"/>
        <w:rPr>
          <w:rFonts w:asciiTheme="minorHAnsi" w:hAnsiTheme="minorHAnsi" w:cstheme="minorHAnsi"/>
        </w:rPr>
      </w:pPr>
    </w:p>
    <w:p w14:paraId="74E17631" w14:textId="443D4C8F" w:rsidR="006C0F5C" w:rsidRPr="00FF5BEF" w:rsidRDefault="006C0F5C" w:rsidP="00FF5BEF">
      <w:pPr>
        <w:spacing w:after="16" w:line="276" w:lineRule="auto"/>
        <w:ind w:left="276" w:right="0" w:firstLine="0"/>
        <w:rPr>
          <w:rFonts w:asciiTheme="minorHAnsi" w:hAnsiTheme="minorHAnsi" w:cstheme="minorHAnsi"/>
        </w:rPr>
      </w:pPr>
    </w:p>
    <w:p w14:paraId="088026B9" w14:textId="77777777" w:rsidR="006C0F5C" w:rsidRPr="00FF5BEF" w:rsidRDefault="00A026CA" w:rsidP="00FF5BEF">
      <w:pPr>
        <w:pStyle w:val="Heading1"/>
        <w:spacing w:line="276" w:lineRule="auto"/>
        <w:ind w:left="271"/>
        <w:jc w:val="both"/>
        <w:rPr>
          <w:rFonts w:asciiTheme="minorHAnsi" w:hAnsiTheme="minorHAnsi" w:cstheme="minorHAnsi"/>
        </w:rPr>
      </w:pPr>
      <w:r w:rsidRPr="00FF5BEF">
        <w:rPr>
          <w:rFonts w:asciiTheme="minorHAnsi" w:hAnsiTheme="minorHAnsi" w:cstheme="minorHAnsi"/>
        </w:rPr>
        <w:t>PUBLIC HEALTH</w:t>
      </w:r>
      <w:r w:rsidRPr="00FF5BEF">
        <w:rPr>
          <w:rFonts w:asciiTheme="minorHAnsi" w:hAnsiTheme="minorHAnsi" w:cstheme="minorHAnsi"/>
          <w:u w:val="none"/>
        </w:rPr>
        <w:t xml:space="preserve"> </w:t>
      </w:r>
    </w:p>
    <w:p w14:paraId="375A307E" w14:textId="77777777" w:rsidR="006C0F5C" w:rsidRPr="00FF5BEF" w:rsidRDefault="00A026CA" w:rsidP="00FF5BEF">
      <w:pPr>
        <w:spacing w:after="18" w:line="276" w:lineRule="auto"/>
        <w:ind w:left="276" w:right="0" w:firstLine="0"/>
        <w:rPr>
          <w:rFonts w:asciiTheme="minorHAnsi" w:hAnsiTheme="minorHAnsi" w:cstheme="minorHAnsi"/>
        </w:rPr>
      </w:pPr>
      <w:r w:rsidRPr="00FF5BEF">
        <w:rPr>
          <w:rFonts w:asciiTheme="minorHAnsi" w:hAnsiTheme="minorHAnsi" w:cstheme="minorHAnsi"/>
          <w:b/>
        </w:rPr>
        <w:t xml:space="preserve"> </w:t>
      </w:r>
    </w:p>
    <w:p w14:paraId="20BA26E7" w14:textId="27B3114E" w:rsidR="00EB4832" w:rsidRPr="00FF5BEF" w:rsidRDefault="00EB4832" w:rsidP="0036170A">
      <w:pPr>
        <w:spacing w:after="18" w:line="276" w:lineRule="auto"/>
        <w:ind w:left="276" w:right="0" w:firstLine="0"/>
        <w:rPr>
          <w:rFonts w:asciiTheme="minorHAnsi" w:hAnsiTheme="minorHAnsi" w:cstheme="minorHAnsi"/>
        </w:rPr>
      </w:pPr>
      <w:r w:rsidRPr="00FF5BEF">
        <w:rPr>
          <w:rFonts w:asciiTheme="minorHAnsi" w:hAnsiTheme="minorHAnsi" w:cstheme="minorHAnsi"/>
          <w:color w:val="00B050"/>
        </w:rPr>
        <w:t>YOBE GOVT APPROVES HEALTH INSURANCE ENROLMENT FOR RETIREES</w:t>
      </w:r>
    </w:p>
    <w:p w14:paraId="20733C9E" w14:textId="77777777" w:rsidR="00EB4832" w:rsidRPr="00FF5BEF" w:rsidRDefault="00EB4832" w:rsidP="00FF5BEF">
      <w:pPr>
        <w:spacing w:after="18" w:line="276" w:lineRule="auto"/>
        <w:ind w:left="276" w:right="0" w:firstLine="0"/>
        <w:rPr>
          <w:rFonts w:asciiTheme="minorHAnsi" w:hAnsiTheme="minorHAnsi" w:cstheme="minorHAnsi"/>
        </w:rPr>
      </w:pPr>
      <w:r w:rsidRPr="00FF5BEF">
        <w:rPr>
          <w:rFonts w:asciiTheme="minorHAnsi" w:hAnsiTheme="minorHAnsi" w:cstheme="minorHAnsi"/>
        </w:rPr>
        <w:t xml:space="preserve">The Yobe State Government has approved the enrolment of state and local government retirees into the Social Equity </w:t>
      </w:r>
      <w:proofErr w:type="spellStart"/>
      <w:r w:rsidRPr="00FF5BEF">
        <w:rPr>
          <w:rFonts w:asciiTheme="minorHAnsi" w:hAnsiTheme="minorHAnsi" w:cstheme="minorHAnsi"/>
        </w:rPr>
        <w:t>Programme</w:t>
      </w:r>
      <w:proofErr w:type="spellEnd"/>
      <w:r w:rsidRPr="00FF5BEF">
        <w:rPr>
          <w:rFonts w:asciiTheme="minorHAnsi" w:hAnsiTheme="minorHAnsi" w:cstheme="minorHAnsi"/>
        </w:rPr>
        <w:t xml:space="preserve"> of the Yobe State Contributory Healthcare Management Agency (YSCHMA), marking a significant step toward improving healthcare access for senior citizens. The approval was granted by Governor Mai Mala Buni following a recommendation from the agency, according to its Executive Secretary, Dr. Babagana Tijjani. The initiative is designed to reduce the financial burden of out-of-pocket medical expenses faced by pensioners while ensuring they receive comprehensive and quality healthcare services at accredited health facilities. The government stated that the </w:t>
      </w:r>
      <w:proofErr w:type="spellStart"/>
      <w:r w:rsidRPr="00FF5BEF">
        <w:rPr>
          <w:rFonts w:asciiTheme="minorHAnsi" w:hAnsiTheme="minorHAnsi" w:cstheme="minorHAnsi"/>
        </w:rPr>
        <w:t>programme</w:t>
      </w:r>
      <w:proofErr w:type="spellEnd"/>
      <w:r w:rsidRPr="00FF5BEF">
        <w:rPr>
          <w:rFonts w:asciiTheme="minorHAnsi" w:hAnsiTheme="minorHAnsi" w:cstheme="minorHAnsi"/>
        </w:rPr>
        <w:t xml:space="preserve"> reflects its commitment to protecting the health and welfare of retirees after years of public service. It also supports Yobe State's broader healthcare reform agenda and aligns with efforts to achieve Universal Health Coverage (UHC) by 2030. To ensure successful implementation, YSCHMA will collaborate with pension unions, relevant government agencies, and healthcare providers to conduct a transparent enrolment process and guarantee seamless access to healthcare services for eligible beneficiaries. </w:t>
      </w:r>
    </w:p>
    <w:p w14:paraId="21A298EF" w14:textId="77777777" w:rsidR="0036170A" w:rsidRDefault="0036170A" w:rsidP="00FF5BEF">
      <w:pPr>
        <w:spacing w:after="18" w:line="276" w:lineRule="auto"/>
        <w:ind w:left="276" w:right="0" w:firstLine="0"/>
        <w:rPr>
          <w:rFonts w:asciiTheme="minorHAnsi" w:hAnsiTheme="minorHAnsi" w:cstheme="minorHAnsi"/>
        </w:rPr>
      </w:pPr>
    </w:p>
    <w:p w14:paraId="457573DE" w14:textId="77777777" w:rsidR="0036170A" w:rsidRPr="00FF5BEF" w:rsidRDefault="00EB4832" w:rsidP="0036170A">
      <w:pPr>
        <w:spacing w:after="18" w:line="276" w:lineRule="auto"/>
        <w:ind w:left="276" w:right="0" w:firstLine="0"/>
        <w:rPr>
          <w:rFonts w:asciiTheme="minorHAnsi" w:hAnsiTheme="minorHAnsi" w:cstheme="minorHAnsi"/>
        </w:rPr>
      </w:pPr>
      <w:r w:rsidRPr="00FF5BEF">
        <w:rPr>
          <w:rFonts w:asciiTheme="minorHAnsi" w:hAnsiTheme="minorHAnsi" w:cstheme="minorHAnsi"/>
        </w:rPr>
        <w:t xml:space="preserve">The policy is expected to strengthen social protection, improve healthcare utilization among older adults, and reduce preventable illnesses and deaths associated with delayed or unaffordable medical treatment. </w:t>
      </w:r>
      <w:r w:rsidR="0036170A" w:rsidRPr="00FF5BEF">
        <w:rPr>
          <w:rFonts w:asciiTheme="minorHAnsi" w:hAnsiTheme="minorHAnsi" w:cstheme="minorHAnsi"/>
        </w:rPr>
        <w:t xml:space="preserve">The approval highlights several important early warning implications that governments should not ignore. An ageing population with limited access to affordable healthcare can experience worsening chronic diseases, higher disability rates, and increased mortality if financial barriers prevent timely medical care. The initiative also signals </w:t>
      </w:r>
      <w:r w:rsidR="0036170A" w:rsidRPr="00FF5BEF">
        <w:rPr>
          <w:rFonts w:asciiTheme="minorHAnsi" w:hAnsiTheme="minorHAnsi" w:cstheme="minorHAnsi"/>
        </w:rPr>
        <w:lastRenderedPageBreak/>
        <w:t xml:space="preserve">that rising out-of-pocket healthcare costs remain a major threat to retirees' wellbeing and could push vulnerable households into poverty. Furthermore, expanding health insurance for retirees underscores the need for sustainable healthcare financing, efficient enrolment systems, and adequate health facility capacity to meet increasing demand. If implementation is delayed or poorly managed, eligible retirees may continue to face untreated illnesses, overcrowded hospitals, and inequitable access to care. </w:t>
      </w:r>
    </w:p>
    <w:p w14:paraId="201D8CF0" w14:textId="77777777" w:rsidR="00EB4832" w:rsidRPr="00FF5BEF" w:rsidRDefault="00EB4832" w:rsidP="00116AC2">
      <w:pPr>
        <w:spacing w:after="18" w:line="276" w:lineRule="auto"/>
        <w:ind w:left="0" w:right="0" w:firstLine="0"/>
        <w:rPr>
          <w:rFonts w:asciiTheme="minorHAnsi" w:hAnsiTheme="minorHAnsi" w:cstheme="minorHAnsi"/>
        </w:rPr>
      </w:pPr>
    </w:p>
    <w:p w14:paraId="30F5358D" w14:textId="45EAD873" w:rsidR="00EB4832" w:rsidRPr="0036170A" w:rsidRDefault="00EB4832" w:rsidP="0036170A">
      <w:pPr>
        <w:spacing w:after="18" w:line="276" w:lineRule="auto"/>
        <w:ind w:left="276" w:right="0" w:firstLine="0"/>
        <w:rPr>
          <w:rFonts w:asciiTheme="minorHAnsi" w:hAnsiTheme="minorHAnsi" w:cstheme="minorHAnsi"/>
          <w:color w:val="EE0000"/>
        </w:rPr>
      </w:pPr>
      <w:r w:rsidRPr="00FF5BEF">
        <w:rPr>
          <w:rFonts w:asciiTheme="minorHAnsi" w:hAnsiTheme="minorHAnsi" w:cstheme="minorHAnsi"/>
          <w:color w:val="EE0000"/>
        </w:rPr>
        <w:t>LASSA FEVER SPREADS ACROSS 23 STATES AS LAGOS MANDATES MALARIA TESTING</w:t>
      </w:r>
    </w:p>
    <w:p w14:paraId="4A143312" w14:textId="77777777" w:rsidR="00EB4832" w:rsidRPr="00FF5BEF" w:rsidRDefault="00EB4832" w:rsidP="00FF5BEF">
      <w:pPr>
        <w:spacing w:after="18" w:line="276" w:lineRule="auto"/>
        <w:ind w:left="276" w:right="0" w:firstLine="0"/>
        <w:rPr>
          <w:rFonts w:asciiTheme="minorHAnsi" w:hAnsiTheme="minorHAnsi" w:cstheme="minorHAnsi"/>
        </w:rPr>
      </w:pPr>
      <w:r w:rsidRPr="00FF5BEF">
        <w:rPr>
          <w:rFonts w:asciiTheme="minorHAnsi" w:hAnsiTheme="minorHAnsi" w:cstheme="minorHAnsi"/>
        </w:rPr>
        <w:t>Nigeria is experiencing a significant increase in Lassa fever cases across 23 states, with the case fatality rate exceeding 24%, underscoring the seriousness of the outbreak. Health authorities are intensifying surveillance, improving laboratory diagnosis, strengthening case management, and promoting public awareness to reduce transmission and deaths. In Lagos State, the Ministry of Health has directed all healthcare facilities to conduct rapid diagnostic tests before administering malaria treatment. This policy aims to improve diagnostic accuracy, prevent the misuse of antimalarial drugs, and ensure that other febrile illnesses, including Lassa fever, are not misdiagnosed as malaria. At the global level, regional health organizations continue to monitor and respond to imported Ebola cases by strengthening cross-border surveillance and emergency preparedness. Meanwhile, updated dementia guidelines emphasize the importance of early diagnosis, improved patient care, caregiver support, and stronger health systems to address the growing burden of dementia associated with ageing populations and improve overall public health preparedness.</w:t>
      </w:r>
    </w:p>
    <w:p w14:paraId="03F81302" w14:textId="77777777" w:rsidR="00EB4832" w:rsidRPr="00FF5BEF" w:rsidRDefault="00EB4832" w:rsidP="00FF5BEF">
      <w:pPr>
        <w:spacing w:after="18" w:line="276" w:lineRule="auto"/>
        <w:ind w:left="276" w:right="0" w:firstLine="0"/>
        <w:rPr>
          <w:rFonts w:asciiTheme="minorHAnsi" w:hAnsiTheme="minorHAnsi" w:cstheme="minorHAnsi"/>
        </w:rPr>
      </w:pPr>
    </w:p>
    <w:p w14:paraId="0CD417E7" w14:textId="5C681507" w:rsidR="00116AC2" w:rsidRPr="00116AC2" w:rsidRDefault="00EB4832" w:rsidP="00116AC2">
      <w:pPr>
        <w:spacing w:after="18" w:line="276" w:lineRule="auto"/>
        <w:ind w:left="276" w:right="0" w:firstLine="0"/>
        <w:rPr>
          <w:rFonts w:asciiTheme="minorHAnsi" w:hAnsiTheme="minorHAnsi" w:cstheme="minorHAnsi"/>
        </w:rPr>
      </w:pPr>
      <w:r w:rsidRPr="00FF5BEF">
        <w:rPr>
          <w:rFonts w:asciiTheme="minorHAnsi" w:hAnsiTheme="minorHAnsi" w:cstheme="minorHAnsi"/>
        </w:rPr>
        <w:t>The recent public health developments highlight the urgent need for stronger disease surveillance, early diagnosis, and improved laboratory capacity to detect outbreaks before they escalate. Accurate malaria testing should be prioritized to prevent misdiagnosis of other infectious diseases such as Lassa fever and Ebola. Health facilities must maintain adequate diagnostic supplies and ensure healthcare workers follow testing and infection prevention protocols.</w:t>
      </w:r>
      <w:r w:rsidR="0036170A" w:rsidRPr="0036170A">
        <w:rPr>
          <w:rFonts w:asciiTheme="minorHAnsi" w:hAnsiTheme="minorHAnsi" w:cstheme="minorHAnsi"/>
        </w:rPr>
        <w:t xml:space="preserve"> </w:t>
      </w:r>
      <w:r w:rsidR="0036170A" w:rsidRPr="00FF5BEF">
        <w:rPr>
          <w:rFonts w:asciiTheme="minorHAnsi" w:hAnsiTheme="minorHAnsi" w:cstheme="minorHAnsi"/>
        </w:rPr>
        <w:t>Countries should strengthen border health surveillance and regional information sharing to detect imported diseases early. Additionally, governments should invest in preparedness for emerging infectious diseases while expanding long-term healthcare services, including dementia screening, caregiver support, and health system capacity to address the growing burden of ageing populations.</w:t>
      </w:r>
    </w:p>
    <w:p w14:paraId="1B69CF94" w14:textId="77777777" w:rsidR="006C0F5C" w:rsidRDefault="00A026CA">
      <w:pPr>
        <w:tabs>
          <w:tab w:val="right" w:pos="9536"/>
        </w:tabs>
        <w:spacing w:after="0" w:line="259" w:lineRule="auto"/>
        <w:ind w:left="0" w:right="0" w:firstLine="0"/>
        <w:jc w:val="left"/>
      </w:pPr>
      <w:r>
        <w:rPr>
          <w:noProof/>
        </w:rPr>
        <w:drawing>
          <wp:inline distT="0" distB="0" distL="0" distR="0" wp14:anchorId="0E73CBE1" wp14:editId="0B613A67">
            <wp:extent cx="2273300" cy="908050"/>
            <wp:effectExtent l="0" t="0" r="0" b="0"/>
            <wp:docPr id="647" name="Picture 647"/>
            <wp:cNvGraphicFramePr/>
            <a:graphic xmlns:a="http://schemas.openxmlformats.org/drawingml/2006/main">
              <a:graphicData uri="http://schemas.openxmlformats.org/drawingml/2006/picture">
                <pic:pic xmlns:pic="http://schemas.openxmlformats.org/drawingml/2006/picture">
                  <pic:nvPicPr>
                    <pic:cNvPr id="647" name="Picture 647"/>
                    <pic:cNvPicPr/>
                  </pic:nvPicPr>
                  <pic:blipFill>
                    <a:blip r:embed="rId6"/>
                    <a:stretch>
                      <a:fillRect/>
                    </a:stretch>
                  </pic:blipFill>
                  <pic:spPr>
                    <a:xfrm>
                      <a:off x="0" y="0"/>
                      <a:ext cx="2273300" cy="908050"/>
                    </a:xfrm>
                    <a:prstGeom prst="rect">
                      <a:avLst/>
                    </a:prstGeom>
                  </pic:spPr>
                </pic:pic>
              </a:graphicData>
            </a:graphic>
          </wp:inline>
        </w:drawing>
      </w:r>
      <w:r>
        <w:rPr>
          <w:rFonts w:ascii="Calibri" w:eastAsia="Calibri" w:hAnsi="Calibri" w:cs="Calibri"/>
          <w:sz w:val="22"/>
        </w:rPr>
        <w:t xml:space="preserve"> </w:t>
      </w:r>
      <w:r>
        <w:rPr>
          <w:rFonts w:ascii="Calibri" w:eastAsia="Calibri" w:hAnsi="Calibri" w:cs="Calibri"/>
          <w:sz w:val="22"/>
        </w:rPr>
        <w:tab/>
      </w:r>
      <w:r>
        <w:rPr>
          <w:noProof/>
        </w:rPr>
        <w:drawing>
          <wp:inline distT="0" distB="0" distL="0" distR="0" wp14:anchorId="2C0A35B8" wp14:editId="1EBBA571">
            <wp:extent cx="1371600" cy="955739"/>
            <wp:effectExtent l="0" t="0" r="0" b="0"/>
            <wp:docPr id="649" name="Picture 649"/>
            <wp:cNvGraphicFramePr/>
            <a:graphic xmlns:a="http://schemas.openxmlformats.org/drawingml/2006/main">
              <a:graphicData uri="http://schemas.openxmlformats.org/drawingml/2006/picture">
                <pic:pic xmlns:pic="http://schemas.openxmlformats.org/drawingml/2006/picture">
                  <pic:nvPicPr>
                    <pic:cNvPr id="649" name="Picture 649"/>
                    <pic:cNvPicPr/>
                  </pic:nvPicPr>
                  <pic:blipFill>
                    <a:blip r:embed="rId26"/>
                    <a:stretch>
                      <a:fillRect/>
                    </a:stretch>
                  </pic:blipFill>
                  <pic:spPr>
                    <a:xfrm>
                      <a:off x="0" y="0"/>
                      <a:ext cx="1371600" cy="955739"/>
                    </a:xfrm>
                    <a:prstGeom prst="rect">
                      <a:avLst/>
                    </a:prstGeom>
                  </pic:spPr>
                </pic:pic>
              </a:graphicData>
            </a:graphic>
          </wp:inline>
        </w:drawing>
      </w:r>
    </w:p>
    <w:p w14:paraId="454D2806" w14:textId="77777777" w:rsidR="006C0F5C" w:rsidRDefault="00A026CA">
      <w:pPr>
        <w:spacing w:after="0" w:line="259" w:lineRule="auto"/>
        <w:ind w:left="-5" w:right="1"/>
        <w:jc w:val="left"/>
      </w:pPr>
      <w:r>
        <w:rPr>
          <w:rFonts w:ascii="Calibri" w:eastAsia="Calibri" w:hAnsi="Calibri" w:cs="Calibri"/>
          <w:b/>
          <w:sz w:val="20"/>
        </w:rPr>
        <w:t xml:space="preserve">Website: </w:t>
      </w:r>
      <w:hyperlink r:id="rId27">
        <w:r>
          <w:rPr>
            <w:rFonts w:ascii="Calibri" w:eastAsia="Calibri" w:hAnsi="Calibri" w:cs="Calibri"/>
            <w:b/>
            <w:color w:val="0563C1"/>
            <w:sz w:val="20"/>
            <w:u w:val="single" w:color="0563C1"/>
          </w:rPr>
          <w:t>www.niia.gov.ng/early</w:t>
        </w:r>
      </w:hyperlink>
      <w:hyperlink r:id="rId28">
        <w:r>
          <w:rPr>
            <w:rFonts w:ascii="Calibri" w:eastAsia="Calibri" w:hAnsi="Calibri" w:cs="Calibri"/>
            <w:b/>
            <w:color w:val="0563C1"/>
            <w:sz w:val="20"/>
            <w:u w:val="single" w:color="0563C1"/>
          </w:rPr>
          <w:t>-</w:t>
        </w:r>
      </w:hyperlink>
      <w:hyperlink r:id="rId29">
        <w:r>
          <w:rPr>
            <w:rFonts w:ascii="Calibri" w:eastAsia="Calibri" w:hAnsi="Calibri" w:cs="Calibri"/>
            <w:b/>
            <w:color w:val="0563C1"/>
            <w:sz w:val="20"/>
            <w:u w:val="single" w:color="0563C1"/>
          </w:rPr>
          <w:t>warning</w:t>
        </w:r>
      </w:hyperlink>
      <w:hyperlink r:id="rId30">
        <w:r>
          <w:rPr>
            <w:rFonts w:ascii="Calibri" w:eastAsia="Calibri" w:hAnsi="Calibri" w:cs="Calibri"/>
            <w:b/>
            <w:color w:val="0563C1"/>
            <w:sz w:val="20"/>
            <w:u w:val="single" w:color="0563C1"/>
          </w:rPr>
          <w:t>-</w:t>
        </w:r>
      </w:hyperlink>
      <w:hyperlink r:id="rId31">
        <w:r>
          <w:rPr>
            <w:rFonts w:ascii="Calibri" w:eastAsia="Calibri" w:hAnsi="Calibri" w:cs="Calibri"/>
            <w:b/>
            <w:color w:val="0563C1"/>
            <w:sz w:val="20"/>
            <w:u w:val="single" w:color="0563C1"/>
          </w:rPr>
          <w:t>system</w:t>
        </w:r>
      </w:hyperlink>
      <w:hyperlink r:id="rId32">
        <w:r>
          <w:rPr>
            <w:rFonts w:ascii="Calibri" w:eastAsia="Calibri" w:hAnsi="Calibri" w:cs="Calibri"/>
            <w:b/>
            <w:color w:val="0563C1"/>
            <w:sz w:val="20"/>
            <w:u w:val="single" w:color="0563C1"/>
          </w:rPr>
          <w:t>-</w:t>
        </w:r>
      </w:hyperlink>
      <w:hyperlink r:id="rId33">
        <w:r>
          <w:rPr>
            <w:rFonts w:ascii="Calibri" w:eastAsia="Calibri" w:hAnsi="Calibri" w:cs="Calibri"/>
            <w:b/>
            <w:color w:val="0563C1"/>
            <w:sz w:val="20"/>
            <w:u w:val="single" w:color="0563C1"/>
          </w:rPr>
          <w:t>centre</w:t>
        </w:r>
      </w:hyperlink>
      <w:hyperlink r:id="rId34">
        <w:r>
          <w:rPr>
            <w:rFonts w:ascii="Calibri" w:eastAsia="Calibri" w:hAnsi="Calibri" w:cs="Calibri"/>
            <w:b/>
            <w:sz w:val="20"/>
          </w:rPr>
          <w:t xml:space="preserve"> </w:t>
        </w:r>
      </w:hyperlink>
      <w:r>
        <w:rPr>
          <w:rFonts w:ascii="Calibri" w:eastAsia="Calibri" w:hAnsi="Calibri" w:cs="Calibri"/>
          <w:sz w:val="22"/>
        </w:rPr>
        <w:t xml:space="preserve"> </w:t>
      </w:r>
    </w:p>
    <w:p w14:paraId="3C053E0E" w14:textId="77777777" w:rsidR="006C0F5C" w:rsidRDefault="00A026CA">
      <w:pPr>
        <w:spacing w:after="0" w:line="259" w:lineRule="auto"/>
        <w:ind w:left="0" w:right="0" w:firstLine="0"/>
        <w:jc w:val="right"/>
      </w:pPr>
      <w:r>
        <w:rPr>
          <w:rFonts w:ascii="Calibri" w:eastAsia="Calibri" w:hAnsi="Calibri" w:cs="Calibri"/>
          <w:b/>
          <w:sz w:val="20"/>
        </w:rPr>
        <w:t xml:space="preserve">13/15 </w:t>
      </w:r>
      <w:proofErr w:type="spellStart"/>
      <w:r>
        <w:rPr>
          <w:rFonts w:ascii="Calibri" w:eastAsia="Calibri" w:hAnsi="Calibri" w:cs="Calibri"/>
          <w:b/>
          <w:sz w:val="20"/>
        </w:rPr>
        <w:t>Kofo</w:t>
      </w:r>
      <w:proofErr w:type="spellEnd"/>
      <w:r>
        <w:rPr>
          <w:rFonts w:ascii="Calibri" w:eastAsia="Calibri" w:hAnsi="Calibri" w:cs="Calibri"/>
          <w:b/>
          <w:sz w:val="20"/>
        </w:rPr>
        <w:t xml:space="preserve"> Abayomi Road, </w:t>
      </w:r>
    </w:p>
    <w:p w14:paraId="302A6AB1" w14:textId="77777777" w:rsidR="006C0F5C" w:rsidRDefault="00A026CA">
      <w:pPr>
        <w:spacing w:after="28" w:line="259" w:lineRule="auto"/>
        <w:ind w:left="-5" w:right="1"/>
        <w:jc w:val="left"/>
      </w:pPr>
      <w:r>
        <w:rPr>
          <w:rFonts w:ascii="Calibri" w:eastAsia="Calibri" w:hAnsi="Calibri" w:cs="Calibri"/>
          <w:b/>
          <w:sz w:val="20"/>
        </w:rPr>
        <w:t xml:space="preserve">Email: </w:t>
      </w:r>
      <w:r>
        <w:rPr>
          <w:rFonts w:ascii="Calibri" w:eastAsia="Calibri" w:hAnsi="Calibri" w:cs="Calibri"/>
          <w:b/>
          <w:color w:val="0563C1"/>
          <w:sz w:val="20"/>
          <w:u w:val="single" w:color="0563C1"/>
        </w:rPr>
        <w:t>earlywarning@niia.gov.ng</w:t>
      </w:r>
      <w:r>
        <w:rPr>
          <w:rFonts w:ascii="Calibri" w:eastAsia="Calibri" w:hAnsi="Calibri" w:cs="Calibri"/>
          <w:b/>
          <w:sz w:val="20"/>
        </w:rPr>
        <w:t xml:space="preserve"> </w:t>
      </w:r>
    </w:p>
    <w:p w14:paraId="664BC657" w14:textId="77777777" w:rsidR="006C0F5C" w:rsidRDefault="00285176">
      <w:pPr>
        <w:tabs>
          <w:tab w:val="right" w:pos="9536"/>
        </w:tabs>
        <w:spacing w:after="0" w:line="259" w:lineRule="auto"/>
        <w:ind w:left="0" w:right="0" w:firstLine="0"/>
        <w:jc w:val="left"/>
      </w:pPr>
      <w:hyperlink r:id="rId35">
        <w:r w:rsidR="00A026CA">
          <w:rPr>
            <w:rFonts w:ascii="Calibri" w:eastAsia="Calibri" w:hAnsi="Calibri" w:cs="Calibri"/>
            <w:b/>
            <w:color w:val="0563C1"/>
            <w:sz w:val="20"/>
            <w:u w:val="single" w:color="0563C1"/>
          </w:rPr>
          <w:t>LinkedIn</w:t>
        </w:r>
      </w:hyperlink>
      <w:hyperlink r:id="rId36">
        <w:r w:rsidR="00A026CA">
          <w:rPr>
            <w:rFonts w:ascii="Calibri" w:eastAsia="Calibri" w:hAnsi="Calibri" w:cs="Calibri"/>
            <w:b/>
            <w:sz w:val="40"/>
            <w:vertAlign w:val="subscript"/>
          </w:rPr>
          <w:t xml:space="preserve"> </w:t>
        </w:r>
      </w:hyperlink>
      <w:r w:rsidR="00A026CA">
        <w:rPr>
          <w:rFonts w:ascii="Calibri" w:eastAsia="Calibri" w:hAnsi="Calibri" w:cs="Calibri"/>
          <w:b/>
          <w:sz w:val="40"/>
          <w:vertAlign w:val="subscript"/>
        </w:rPr>
        <w:tab/>
      </w:r>
      <w:r w:rsidR="00A026CA">
        <w:rPr>
          <w:rFonts w:ascii="Calibri" w:eastAsia="Calibri" w:hAnsi="Calibri" w:cs="Calibri"/>
          <w:b/>
          <w:sz w:val="20"/>
        </w:rPr>
        <w:t xml:space="preserve">Victoria Island, Lagos </w:t>
      </w:r>
    </w:p>
    <w:p w14:paraId="4A2E39B4" w14:textId="12CA06A5" w:rsidR="006C0F5C" w:rsidRDefault="00A026CA" w:rsidP="00116AC2">
      <w:pPr>
        <w:spacing w:after="132" w:line="259" w:lineRule="auto"/>
        <w:ind w:left="0" w:right="0" w:firstLine="0"/>
        <w:jc w:val="right"/>
      </w:pPr>
      <w:r>
        <w:rPr>
          <w:rFonts w:ascii="Calibri" w:eastAsia="Calibri" w:hAnsi="Calibri" w:cs="Calibri"/>
          <w:b/>
          <w:sz w:val="20"/>
        </w:rPr>
        <w:t>Website</w:t>
      </w:r>
      <w:hyperlink r:id="rId37">
        <w:r>
          <w:rPr>
            <w:rFonts w:ascii="Calibri" w:eastAsia="Calibri" w:hAnsi="Calibri" w:cs="Calibri"/>
            <w:b/>
            <w:sz w:val="20"/>
          </w:rPr>
          <w:t xml:space="preserve">: </w:t>
        </w:r>
      </w:hyperlink>
      <w:hyperlink r:id="rId38">
        <w:r>
          <w:rPr>
            <w:rFonts w:ascii="Calibri" w:eastAsia="Calibri" w:hAnsi="Calibri" w:cs="Calibri"/>
            <w:b/>
            <w:color w:val="0563C1"/>
            <w:sz w:val="20"/>
            <w:u w:val="single" w:color="0563C1"/>
          </w:rPr>
          <w:t>www.niia.gov.ng</w:t>
        </w:r>
      </w:hyperlink>
      <w:hyperlink r:id="rId39">
        <w:r>
          <w:rPr>
            <w:rFonts w:ascii="Arial" w:eastAsia="Arial" w:hAnsi="Arial" w:cs="Arial"/>
            <w:sz w:val="22"/>
          </w:rPr>
          <w:t xml:space="preserve"> </w:t>
        </w:r>
      </w:hyperlink>
      <w:bookmarkStart w:id="0" w:name="_GoBack"/>
      <w:bookmarkEnd w:id="0"/>
    </w:p>
    <w:sectPr w:rsidR="006C0F5C">
      <w:footerReference w:type="even" r:id="rId40"/>
      <w:footerReference w:type="default" r:id="rId41"/>
      <w:pgSz w:w="11906" w:h="16838"/>
      <w:pgMar w:top="1440" w:right="846" w:bottom="1509" w:left="152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AF0072" w14:textId="77777777" w:rsidR="00285176" w:rsidRDefault="00285176" w:rsidP="0036170A">
      <w:pPr>
        <w:spacing w:after="0" w:line="240" w:lineRule="auto"/>
      </w:pPr>
      <w:r>
        <w:separator/>
      </w:r>
    </w:p>
  </w:endnote>
  <w:endnote w:type="continuationSeparator" w:id="0">
    <w:p w14:paraId="06D688BD" w14:textId="77777777" w:rsidR="00285176" w:rsidRDefault="00285176" w:rsidP="00361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96801518"/>
      <w:docPartObj>
        <w:docPartGallery w:val="Page Numbers (Bottom of Page)"/>
        <w:docPartUnique/>
      </w:docPartObj>
    </w:sdtPr>
    <w:sdtEndPr>
      <w:rPr>
        <w:rStyle w:val="PageNumber"/>
      </w:rPr>
    </w:sdtEndPr>
    <w:sdtContent>
      <w:p w14:paraId="7DCB393A" w14:textId="00562C6C" w:rsidR="0036170A" w:rsidRDefault="0036170A" w:rsidP="00D73D3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6C9CE1" w14:textId="77777777" w:rsidR="0036170A" w:rsidRDefault="003617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00261271"/>
      <w:docPartObj>
        <w:docPartGallery w:val="Page Numbers (Bottom of Page)"/>
        <w:docPartUnique/>
      </w:docPartObj>
    </w:sdtPr>
    <w:sdtEndPr>
      <w:rPr>
        <w:rStyle w:val="PageNumber"/>
      </w:rPr>
    </w:sdtEndPr>
    <w:sdtContent>
      <w:p w14:paraId="5A996DAD" w14:textId="6E9A6EF6" w:rsidR="0036170A" w:rsidRDefault="0036170A" w:rsidP="00D73D3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00DC05C" w14:textId="77777777" w:rsidR="0036170A" w:rsidRDefault="003617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C1A798" w14:textId="77777777" w:rsidR="00285176" w:rsidRDefault="00285176" w:rsidP="0036170A">
      <w:pPr>
        <w:spacing w:after="0" w:line="240" w:lineRule="auto"/>
      </w:pPr>
      <w:r>
        <w:separator/>
      </w:r>
    </w:p>
  </w:footnote>
  <w:footnote w:type="continuationSeparator" w:id="0">
    <w:p w14:paraId="36F2C520" w14:textId="77777777" w:rsidR="00285176" w:rsidRDefault="00285176" w:rsidP="003617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F5C"/>
    <w:rsid w:val="00116AC2"/>
    <w:rsid w:val="00285176"/>
    <w:rsid w:val="0036170A"/>
    <w:rsid w:val="0038482B"/>
    <w:rsid w:val="00620D9D"/>
    <w:rsid w:val="00654AC3"/>
    <w:rsid w:val="00674BE3"/>
    <w:rsid w:val="0069016F"/>
    <w:rsid w:val="006C0AE5"/>
    <w:rsid w:val="006C0F5C"/>
    <w:rsid w:val="00720564"/>
    <w:rsid w:val="00734CE8"/>
    <w:rsid w:val="00757A04"/>
    <w:rsid w:val="00892FF4"/>
    <w:rsid w:val="009E6FE2"/>
    <w:rsid w:val="00A026CA"/>
    <w:rsid w:val="00AB6372"/>
    <w:rsid w:val="00B559D2"/>
    <w:rsid w:val="00C5391C"/>
    <w:rsid w:val="00D55C4F"/>
    <w:rsid w:val="00E47EB2"/>
    <w:rsid w:val="00EB4832"/>
    <w:rsid w:val="00F80989"/>
    <w:rsid w:val="00FF5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D7F2A"/>
  <w15:docId w15:val="{7FA50275-65C1-4C12-89EE-14A57ADC8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 w:line="274" w:lineRule="auto"/>
      <w:ind w:left="286" w:right="954" w:hanging="10"/>
      <w:jc w:val="both"/>
    </w:pPr>
    <w:rPr>
      <w:rFonts w:ascii="Cambria" w:eastAsia="Cambria" w:hAnsi="Cambria" w:cs="Cambria"/>
      <w:color w:val="000000"/>
    </w:rPr>
  </w:style>
  <w:style w:type="paragraph" w:styleId="Heading1">
    <w:name w:val="heading 1"/>
    <w:next w:val="Normal"/>
    <w:link w:val="Heading1Char"/>
    <w:uiPriority w:val="9"/>
    <w:qFormat/>
    <w:pPr>
      <w:keepNext/>
      <w:keepLines/>
      <w:spacing w:after="18" w:line="259" w:lineRule="auto"/>
      <w:ind w:left="286" w:hanging="10"/>
      <w:outlineLvl w:val="0"/>
    </w:pPr>
    <w:rPr>
      <w:rFonts w:ascii="Cambria" w:eastAsia="Cambria" w:hAnsi="Cambria" w:cs="Cambria"/>
      <w:b/>
      <w:color w:val="000000"/>
      <w:u w:val="single" w:color="000000"/>
    </w:rPr>
  </w:style>
  <w:style w:type="paragraph" w:styleId="Heading2">
    <w:name w:val="heading 2"/>
    <w:next w:val="Normal"/>
    <w:link w:val="Heading2Char"/>
    <w:uiPriority w:val="9"/>
    <w:unhideWhenUsed/>
    <w:qFormat/>
    <w:pPr>
      <w:keepNext/>
      <w:keepLines/>
      <w:spacing w:after="0" w:line="249" w:lineRule="auto"/>
      <w:ind w:left="286" w:hanging="10"/>
      <w:outlineLvl w:val="1"/>
    </w:pPr>
    <w:rPr>
      <w:rFonts w:ascii="Cambria" w:eastAsia="Cambria" w:hAnsi="Cambria" w:cs="Cambria"/>
      <w:b/>
      <w:color w:val="EE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mbria" w:eastAsia="Cambria" w:hAnsi="Cambria" w:cs="Cambria"/>
      <w:b/>
      <w:color w:val="000000"/>
      <w:sz w:val="24"/>
      <w:u w:val="single" w:color="000000"/>
    </w:rPr>
  </w:style>
  <w:style w:type="character" w:customStyle="1" w:styleId="Heading2Char">
    <w:name w:val="Heading 2 Char"/>
    <w:link w:val="Heading2"/>
    <w:rPr>
      <w:rFonts w:ascii="Cambria" w:eastAsia="Cambria" w:hAnsi="Cambria" w:cs="Cambria"/>
      <w:b/>
      <w:color w:val="EE0000"/>
      <w:sz w:val="24"/>
    </w:rPr>
  </w:style>
  <w:style w:type="paragraph" w:styleId="Footer">
    <w:name w:val="footer"/>
    <w:basedOn w:val="Normal"/>
    <w:link w:val="FooterChar"/>
    <w:uiPriority w:val="99"/>
    <w:unhideWhenUsed/>
    <w:rsid w:val="003617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70A"/>
    <w:rPr>
      <w:rFonts w:ascii="Cambria" w:eastAsia="Cambria" w:hAnsi="Cambria" w:cs="Cambria"/>
      <w:color w:val="000000"/>
    </w:rPr>
  </w:style>
  <w:style w:type="character" w:styleId="PageNumber">
    <w:name w:val="page number"/>
    <w:basedOn w:val="DefaultParagraphFont"/>
    <w:uiPriority w:val="99"/>
    <w:semiHidden/>
    <w:unhideWhenUsed/>
    <w:rsid w:val="00361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hyperlink" Target="https://niia.gov.ng/" TargetMode="External"/><Relationship Id="rId21" Type="http://schemas.openxmlformats.org/officeDocument/2006/relationships/image" Target="media/image16.png"/><Relationship Id="rId34" Type="http://schemas.openxmlformats.org/officeDocument/2006/relationships/hyperlink" Target="http://www.niia.gov.ng/early-warning-system-centre" TargetMode="External"/><Relationship Id="rId42"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hyperlink" Target="http://www.niia.gov.ng/early-warning-system-centre" TargetMode="External"/><Relationship Id="rId41"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hyperlink" Target="http://www.niia.gov.ng/early-warning-system-centre" TargetMode="External"/><Relationship Id="rId37" Type="http://schemas.openxmlformats.org/officeDocument/2006/relationships/hyperlink" Target="https://niia.gov.ng/" TargetMode="External"/><Relationship Id="rId40"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hyperlink" Target="http://www.niia.gov.ng/early-warning-system-centre" TargetMode="External"/><Relationship Id="rId36" Type="http://schemas.openxmlformats.org/officeDocument/2006/relationships/hyperlink" Target="https://www.linkedin.com/company/general-leo-irabor-early-warning-systems-centre" TargetMode="Externa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hyperlink" Target="http://www.niia.gov.ng/early-warning-system-centre" TargetMode="Externa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hyperlink" Target="http://www.niia.gov.ng/early-warning-system-centre" TargetMode="External"/><Relationship Id="rId30" Type="http://schemas.openxmlformats.org/officeDocument/2006/relationships/hyperlink" Target="http://www.niia.gov.ng/early-warning-system-centre" TargetMode="External"/><Relationship Id="rId35" Type="http://schemas.openxmlformats.org/officeDocument/2006/relationships/hyperlink" Target="https://www.linkedin.com/company/general-leo-irabor-early-warning-systems-centre" TargetMode="External"/><Relationship Id="rId43" Type="http://schemas.openxmlformats.org/officeDocument/2006/relationships/theme" Target="theme/theme1.xml"/><Relationship Id="rId8" Type="http://schemas.openxmlformats.org/officeDocument/2006/relationships/image" Target="media/image3.png"/><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hyperlink" Target="http://www.niia.gov.ng/early-warning-system-centre" TargetMode="External"/><Relationship Id="rId38" Type="http://schemas.openxmlformats.org/officeDocument/2006/relationships/hyperlink" Target="https://niia.gov.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3781</Words>
  <Characters>21557</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dc:creator>
  <cp:keywords/>
  <cp:lastModifiedBy>Microsoft Office User</cp:lastModifiedBy>
  <cp:revision>3</cp:revision>
  <dcterms:created xsi:type="dcterms:W3CDTF">2026-07-20T11:58:00Z</dcterms:created>
  <dcterms:modified xsi:type="dcterms:W3CDTF">2026-07-20T12:51:00Z</dcterms:modified>
</cp:coreProperties>
</file>